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SVEUČILIŠTE U ZAGREBU</w:t>
      </w:r>
    </w:p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MUZIČKA AKADEMIJA</w:t>
      </w:r>
    </w:p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TRG REPUBLIKE HRVATSKE 12</w:t>
      </w:r>
    </w:p>
    <w:p w:rsidR="00EF080F" w:rsidRPr="00047B73" w:rsidRDefault="00EF080F" w:rsidP="00EF080F">
      <w:pPr>
        <w:rPr>
          <w:b/>
          <w:sz w:val="24"/>
          <w:szCs w:val="24"/>
        </w:rPr>
      </w:pPr>
      <w:r w:rsidRPr="00047B73">
        <w:rPr>
          <w:b/>
          <w:sz w:val="24"/>
          <w:szCs w:val="24"/>
        </w:rPr>
        <w:t>10000 ZAGREB</w:t>
      </w:r>
    </w:p>
    <w:p w:rsidR="00EF080F" w:rsidRPr="00047B73" w:rsidRDefault="00EF080F" w:rsidP="00EF080F">
      <w:pPr>
        <w:rPr>
          <w:sz w:val="24"/>
          <w:szCs w:val="24"/>
        </w:rPr>
      </w:pPr>
      <w:r w:rsidRPr="00047B73">
        <w:rPr>
          <w:b/>
          <w:sz w:val="24"/>
          <w:szCs w:val="24"/>
        </w:rPr>
        <w:t>OIB:18422925218</w:t>
      </w:r>
    </w:p>
    <w:p w:rsidR="00EF080F" w:rsidRPr="00047B73" w:rsidRDefault="00EF080F" w:rsidP="00EF080F">
      <w:pPr>
        <w:rPr>
          <w:sz w:val="24"/>
          <w:szCs w:val="24"/>
        </w:rPr>
      </w:pPr>
      <w:r w:rsidRPr="00047B73">
        <w:rPr>
          <w:sz w:val="24"/>
          <w:szCs w:val="24"/>
        </w:rPr>
        <w:t xml:space="preserve">Zagreb, </w:t>
      </w:r>
      <w:r>
        <w:rPr>
          <w:sz w:val="24"/>
          <w:szCs w:val="24"/>
        </w:rPr>
        <w:t>31.01</w:t>
      </w:r>
      <w:r w:rsidRPr="00047B73">
        <w:rPr>
          <w:sz w:val="24"/>
          <w:szCs w:val="24"/>
        </w:rPr>
        <w:t>.20</w:t>
      </w:r>
      <w:r>
        <w:rPr>
          <w:sz w:val="24"/>
          <w:szCs w:val="24"/>
        </w:rPr>
        <w:t>23</w:t>
      </w:r>
      <w:r w:rsidRPr="00047B73">
        <w:rPr>
          <w:sz w:val="24"/>
          <w:szCs w:val="24"/>
        </w:rPr>
        <w:t>.</w:t>
      </w:r>
    </w:p>
    <w:p w:rsidR="00EF080F" w:rsidRDefault="00EF080F"/>
    <w:p w:rsidR="00EF080F" w:rsidRDefault="00EF080F" w:rsidP="00EF080F"/>
    <w:p w:rsidR="00EF080F" w:rsidRPr="00375805" w:rsidRDefault="00EF080F" w:rsidP="00EF080F">
      <w:pPr>
        <w:jc w:val="center"/>
        <w:rPr>
          <w:b/>
          <w:sz w:val="28"/>
          <w:szCs w:val="28"/>
        </w:rPr>
      </w:pPr>
      <w:r w:rsidRPr="00375805">
        <w:rPr>
          <w:b/>
          <w:sz w:val="28"/>
          <w:szCs w:val="28"/>
        </w:rPr>
        <w:t>B I L J E Š K E</w:t>
      </w:r>
    </w:p>
    <w:p w:rsidR="00EF080F" w:rsidRDefault="00EF080F" w:rsidP="00B00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FINANCIJSKO IZVJEŠĆE ZA 2022.</w:t>
      </w:r>
      <w:r w:rsidRPr="00375805">
        <w:rPr>
          <w:b/>
          <w:sz w:val="28"/>
          <w:szCs w:val="28"/>
        </w:rPr>
        <w:t xml:space="preserve"> godinu</w:t>
      </w:r>
    </w:p>
    <w:p w:rsidR="00902EFC" w:rsidRDefault="00902EFC" w:rsidP="00B00A06">
      <w:pPr>
        <w:jc w:val="center"/>
        <w:rPr>
          <w:b/>
          <w:sz w:val="28"/>
          <w:szCs w:val="28"/>
        </w:rPr>
      </w:pPr>
    </w:p>
    <w:p w:rsidR="00902EFC" w:rsidRPr="00041848" w:rsidRDefault="00902EFC" w:rsidP="00041848">
      <w:pPr>
        <w:jc w:val="both"/>
        <w:rPr>
          <w:rFonts w:ascii="Times New Roman" w:hAnsi="Times New Roman" w:cs="Times New Roman"/>
          <w:b/>
        </w:rPr>
      </w:pPr>
    </w:p>
    <w:p w:rsidR="00902EFC" w:rsidRPr="00041848" w:rsidRDefault="00902EFC" w:rsidP="0004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1848">
        <w:rPr>
          <w:rFonts w:ascii="Times New Roman" w:hAnsi="Times New Roman" w:cs="Times New Roman"/>
          <w:b/>
        </w:rPr>
        <w:t>Obrazac PR-RAS</w:t>
      </w:r>
    </w:p>
    <w:p w:rsidR="00265732" w:rsidRPr="00041848" w:rsidRDefault="00265732" w:rsidP="00041848">
      <w:pPr>
        <w:pStyle w:val="ListParagraph"/>
        <w:jc w:val="both"/>
        <w:rPr>
          <w:rFonts w:ascii="Times New Roman" w:hAnsi="Times New Roman" w:cs="Times New Roman"/>
        </w:rPr>
      </w:pPr>
    </w:p>
    <w:p w:rsidR="00EF080F" w:rsidRPr="00041848" w:rsidRDefault="00321903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Prihodi poslovanja</w:t>
      </w:r>
      <w:r w:rsidR="00EF080F" w:rsidRPr="00041848">
        <w:rPr>
          <w:rFonts w:ascii="Times New Roman" w:hAnsi="Times New Roman" w:cs="Times New Roman"/>
        </w:rPr>
        <w:t>:</w:t>
      </w:r>
    </w:p>
    <w:p w:rsidR="00B914C1" w:rsidRPr="00041848" w:rsidRDefault="00B914C1" w:rsidP="00041848">
      <w:pPr>
        <w:ind w:left="36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580"/>
        <w:gridCol w:w="1386"/>
        <w:gridCol w:w="1896"/>
        <w:gridCol w:w="1896"/>
        <w:gridCol w:w="1346"/>
      </w:tblGrid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404" w:type="dxa"/>
            <w:hideMark/>
          </w:tcPr>
          <w:p w:rsidR="00B914C1" w:rsidRPr="00041848" w:rsidRDefault="00B914C1" w:rsidP="00C81AAC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C81AAC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Prihod poslovanja-ukupno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48.894.819,00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51.323.600,89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105,0</w:t>
            </w:r>
          </w:p>
        </w:tc>
      </w:tr>
      <w:tr w:rsidR="001014C9" w:rsidRPr="00041848" w:rsidTr="00265732">
        <w:trPr>
          <w:trHeight w:val="453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Pomoći iz inozemstva i od subjekata unutra općeg proračuna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436.822,00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958.488,94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219,40</w:t>
            </w:r>
          </w:p>
        </w:tc>
      </w:tr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64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1.089,00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2.196,97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201,7</w:t>
            </w:r>
          </w:p>
        </w:tc>
      </w:tr>
      <w:tr w:rsidR="001014C9" w:rsidRPr="00041848" w:rsidTr="00265732">
        <w:trPr>
          <w:trHeight w:val="453"/>
        </w:trPr>
        <w:tc>
          <w:tcPr>
            <w:tcW w:w="3007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Prihodi po posebnim propisima i naknadama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65732" w:rsidRPr="00041848">
              <w:rPr>
                <w:rFonts w:ascii="Times New Roman" w:hAnsi="Times New Roman" w:cs="Times New Roman"/>
              </w:rPr>
              <w:t>1.027.943,00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65732" w:rsidRPr="00041848">
              <w:rPr>
                <w:rFonts w:ascii="Times New Roman" w:hAnsi="Times New Roman" w:cs="Times New Roman"/>
              </w:rPr>
              <w:t>929.912,74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90,5</w:t>
            </w:r>
          </w:p>
        </w:tc>
      </w:tr>
      <w:tr w:rsidR="001014C9" w:rsidRPr="00041848" w:rsidTr="00265732">
        <w:trPr>
          <w:trHeight w:val="452"/>
        </w:trPr>
        <w:tc>
          <w:tcPr>
            <w:tcW w:w="3007" w:type="dxa"/>
            <w:hideMark/>
          </w:tcPr>
          <w:p w:rsidR="00B914C1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Prihodi od pruženih usluga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</w:t>
            </w:r>
            <w:r w:rsidR="00265732" w:rsidRPr="0004184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65732" w:rsidRPr="00041848">
              <w:rPr>
                <w:rFonts w:ascii="Times New Roman" w:hAnsi="Times New Roman" w:cs="Times New Roman"/>
              </w:rPr>
              <w:t>566.729,00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65732" w:rsidRPr="00041848">
              <w:rPr>
                <w:rFonts w:ascii="Times New Roman" w:hAnsi="Times New Roman" w:cs="Times New Roman"/>
              </w:rPr>
              <w:t>1.277.366,63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225,40</w:t>
            </w:r>
          </w:p>
        </w:tc>
      </w:tr>
      <w:tr w:rsidR="001014C9" w:rsidRPr="00041848" w:rsidTr="00265732">
        <w:trPr>
          <w:trHeight w:val="453"/>
        </w:trPr>
        <w:tc>
          <w:tcPr>
            <w:tcW w:w="3007" w:type="dxa"/>
            <w:hideMark/>
          </w:tcPr>
          <w:p w:rsidR="00B914C1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Prihod iz nadležnog proračuna</w:t>
            </w:r>
          </w:p>
        </w:tc>
        <w:tc>
          <w:tcPr>
            <w:tcW w:w="1404" w:type="dxa"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</w:t>
            </w:r>
            <w:r w:rsidR="00265732" w:rsidRPr="00041848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673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65732" w:rsidRPr="00041848">
              <w:rPr>
                <w:rFonts w:ascii="Times New Roman" w:hAnsi="Times New Roman" w:cs="Times New Roman"/>
              </w:rPr>
              <w:t>46.859.962,00</w:t>
            </w:r>
          </w:p>
        </w:tc>
        <w:tc>
          <w:tcPr>
            <w:tcW w:w="1826" w:type="dxa"/>
            <w:noWrap/>
            <w:hideMark/>
          </w:tcPr>
          <w:p w:rsidR="00B914C1" w:rsidRPr="00041848" w:rsidRDefault="00B914C1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 </w:t>
            </w:r>
            <w:r w:rsidR="00265732" w:rsidRPr="00041848">
              <w:rPr>
                <w:rFonts w:ascii="Times New Roman" w:hAnsi="Times New Roman" w:cs="Times New Roman"/>
              </w:rPr>
              <w:t>48.128.594,07</w:t>
            </w:r>
          </w:p>
        </w:tc>
        <w:tc>
          <w:tcPr>
            <w:tcW w:w="1194" w:type="dxa"/>
            <w:noWrap/>
            <w:hideMark/>
          </w:tcPr>
          <w:p w:rsidR="00B914C1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102,7</w:t>
            </w:r>
          </w:p>
        </w:tc>
      </w:tr>
      <w:tr w:rsidR="00265732" w:rsidRPr="00041848" w:rsidTr="00265732">
        <w:trPr>
          <w:trHeight w:val="453"/>
        </w:trPr>
        <w:tc>
          <w:tcPr>
            <w:tcW w:w="3007" w:type="dxa"/>
          </w:tcPr>
          <w:p w:rsidR="00265732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Ostali prihodi</w:t>
            </w:r>
          </w:p>
        </w:tc>
        <w:tc>
          <w:tcPr>
            <w:tcW w:w="1404" w:type="dxa"/>
          </w:tcPr>
          <w:p w:rsidR="00265732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1673" w:type="dxa"/>
            <w:noWrap/>
          </w:tcPr>
          <w:p w:rsidR="00265732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2.274,00</w:t>
            </w:r>
          </w:p>
        </w:tc>
        <w:tc>
          <w:tcPr>
            <w:tcW w:w="1826" w:type="dxa"/>
            <w:noWrap/>
          </w:tcPr>
          <w:p w:rsidR="00265732" w:rsidRPr="00041848" w:rsidRDefault="00265732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27.041,54</w:t>
            </w:r>
          </w:p>
        </w:tc>
        <w:tc>
          <w:tcPr>
            <w:tcW w:w="1194" w:type="dxa"/>
            <w:noWrap/>
          </w:tcPr>
          <w:p w:rsidR="00265732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1.189,20</w:t>
            </w:r>
          </w:p>
        </w:tc>
      </w:tr>
    </w:tbl>
    <w:p w:rsidR="00B914C1" w:rsidRPr="00041848" w:rsidRDefault="00B914C1" w:rsidP="00041848">
      <w:pPr>
        <w:ind w:left="360"/>
        <w:jc w:val="both"/>
        <w:rPr>
          <w:rFonts w:ascii="Times New Roman" w:hAnsi="Times New Roman" w:cs="Times New Roman"/>
        </w:rPr>
      </w:pPr>
    </w:p>
    <w:p w:rsidR="00890D84" w:rsidRPr="00041848" w:rsidRDefault="00265732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Ukupni prihod poslovanja u razdoblju od 01.01. do 31.12.202</w:t>
      </w:r>
      <w:r w:rsidR="00890D84" w:rsidRPr="00041848">
        <w:rPr>
          <w:rFonts w:ascii="Times New Roman" w:hAnsi="Times New Roman" w:cs="Times New Roman"/>
        </w:rPr>
        <w:t>2</w:t>
      </w:r>
      <w:r w:rsidRPr="00041848">
        <w:rPr>
          <w:rFonts w:ascii="Times New Roman" w:hAnsi="Times New Roman" w:cs="Times New Roman"/>
        </w:rPr>
        <w:t>. god.iznos</w:t>
      </w:r>
      <w:r w:rsidR="00FB1848" w:rsidRPr="00041848">
        <w:rPr>
          <w:rFonts w:ascii="Times New Roman" w:hAnsi="Times New Roman" w:cs="Times New Roman"/>
        </w:rPr>
        <w:t>i</w:t>
      </w:r>
      <w:r w:rsidRPr="00041848">
        <w:rPr>
          <w:rFonts w:ascii="Times New Roman" w:hAnsi="Times New Roman" w:cs="Times New Roman"/>
        </w:rPr>
        <w:t xml:space="preserve"> 51.323.600,89 kn</w:t>
      </w:r>
      <w:r w:rsidR="00890D84" w:rsidRPr="00041848">
        <w:rPr>
          <w:rFonts w:ascii="Times New Roman" w:hAnsi="Times New Roman" w:cs="Times New Roman"/>
        </w:rPr>
        <w:t xml:space="preserve"> što je 4,97% više u odnosu na 2021.godinu.</w:t>
      </w:r>
      <w:r w:rsidRPr="00041848">
        <w:rPr>
          <w:rFonts w:ascii="Times New Roman" w:hAnsi="Times New Roman" w:cs="Times New Roman"/>
        </w:rPr>
        <w:t xml:space="preserve"> Prema strukturi </w:t>
      </w:r>
      <w:r w:rsidR="00890D84" w:rsidRPr="00041848">
        <w:rPr>
          <w:rFonts w:ascii="Times New Roman" w:hAnsi="Times New Roman" w:cs="Times New Roman"/>
        </w:rPr>
        <w:t xml:space="preserve">ostvarenih prihoda </w:t>
      </w:r>
      <w:r w:rsidRPr="00041848">
        <w:rPr>
          <w:rFonts w:ascii="Times New Roman" w:hAnsi="Times New Roman" w:cs="Times New Roman"/>
        </w:rPr>
        <w:t xml:space="preserve">93,77 % se odnosi na </w:t>
      </w:r>
      <w:r w:rsidR="00890D84" w:rsidRPr="00041848">
        <w:rPr>
          <w:rFonts w:ascii="Times New Roman" w:hAnsi="Times New Roman" w:cs="Times New Roman"/>
        </w:rPr>
        <w:t>p</w:t>
      </w:r>
      <w:r w:rsidRPr="00041848">
        <w:rPr>
          <w:rFonts w:ascii="Times New Roman" w:hAnsi="Times New Roman" w:cs="Times New Roman"/>
        </w:rPr>
        <w:t xml:space="preserve">rihode iz nadležnog proračuna za financiranje redovne djelatnosti proračunskog korisnika </w:t>
      </w:r>
      <w:r w:rsidR="00890D84" w:rsidRPr="00041848">
        <w:rPr>
          <w:rFonts w:ascii="Times New Roman" w:hAnsi="Times New Roman" w:cs="Times New Roman"/>
        </w:rPr>
        <w:t>u</w:t>
      </w:r>
      <w:r w:rsidRPr="00041848">
        <w:rPr>
          <w:rFonts w:ascii="Times New Roman" w:hAnsi="Times New Roman" w:cs="Times New Roman"/>
        </w:rPr>
        <w:t xml:space="preserve"> iznos</w:t>
      </w:r>
      <w:r w:rsidR="00890D84" w:rsidRPr="00041848">
        <w:rPr>
          <w:rFonts w:ascii="Times New Roman" w:hAnsi="Times New Roman" w:cs="Times New Roman"/>
        </w:rPr>
        <w:t>u od</w:t>
      </w:r>
      <w:r w:rsidRPr="00041848">
        <w:rPr>
          <w:rFonts w:ascii="Times New Roman" w:hAnsi="Times New Roman" w:cs="Times New Roman"/>
        </w:rPr>
        <w:t xml:space="preserve"> 48.128.594,07 kn. </w:t>
      </w:r>
    </w:p>
    <w:p w:rsidR="00C81AAC" w:rsidRDefault="00C81AAC" w:rsidP="00041848">
      <w:pPr>
        <w:jc w:val="both"/>
        <w:rPr>
          <w:rFonts w:ascii="Times New Roman" w:hAnsi="Times New Roman" w:cs="Times New Roman"/>
        </w:rPr>
      </w:pPr>
    </w:p>
    <w:p w:rsidR="00C81AAC" w:rsidRDefault="00C81AAC" w:rsidP="00041848">
      <w:pPr>
        <w:jc w:val="both"/>
        <w:rPr>
          <w:rFonts w:ascii="Times New Roman" w:hAnsi="Times New Roman" w:cs="Times New Roman"/>
        </w:rPr>
      </w:pPr>
    </w:p>
    <w:p w:rsidR="00C81AAC" w:rsidRDefault="00C81AAC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Strukturu ostvarenih poslovnih prihoda čine:</w:t>
      </w:r>
    </w:p>
    <w:p w:rsidR="00265732" w:rsidRPr="00C81AAC" w:rsidRDefault="00FB18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Pomoći iz inozemstva i od subjekata unutra općeg proračuna</w:t>
      </w:r>
      <w:r w:rsidR="00C81AAC">
        <w:rPr>
          <w:rFonts w:ascii="Times New Roman" w:hAnsi="Times New Roman" w:cs="Times New Roman"/>
        </w:rPr>
        <w:t xml:space="preserve"> </w:t>
      </w:r>
      <w:r w:rsidR="00BE029C">
        <w:rPr>
          <w:rFonts w:ascii="Times New Roman" w:hAnsi="Times New Roman" w:cs="Times New Roman"/>
        </w:rPr>
        <w:t xml:space="preserve">na kontu 63 </w:t>
      </w:r>
      <w:r w:rsidR="00C81AAC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 xml:space="preserve"> iznos</w:t>
      </w:r>
      <w:r w:rsidR="00BE029C">
        <w:rPr>
          <w:rFonts w:ascii="Times New Roman" w:hAnsi="Times New Roman" w:cs="Times New Roman"/>
        </w:rPr>
        <w:t>e</w:t>
      </w:r>
      <w:r w:rsidR="00C81AAC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  <w:bCs/>
        </w:rPr>
        <w:t xml:space="preserve">958.488,94 kn što je </w:t>
      </w:r>
      <w:r w:rsidR="006B6E48" w:rsidRPr="00041848">
        <w:rPr>
          <w:rFonts w:ascii="Times New Roman" w:hAnsi="Times New Roman" w:cs="Times New Roman"/>
          <w:bCs/>
        </w:rPr>
        <w:t>119,42 % više u odnosu na 2021.godinu</w:t>
      </w:r>
      <w:r w:rsidR="00C81AAC">
        <w:rPr>
          <w:rFonts w:ascii="Times New Roman" w:hAnsi="Times New Roman" w:cs="Times New Roman"/>
          <w:bCs/>
        </w:rPr>
        <w:t xml:space="preserve">. U ovu stavku upljučen je </w:t>
      </w:r>
      <w:r w:rsidR="00A85EAA" w:rsidRPr="00041848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 xml:space="preserve">prihod od </w:t>
      </w:r>
      <w:r w:rsidR="00E65772" w:rsidRPr="00041848">
        <w:rPr>
          <w:rFonts w:ascii="Times New Roman" w:hAnsi="Times New Roman" w:cs="Times New Roman"/>
        </w:rPr>
        <w:t xml:space="preserve"> Eu projekata u  iznos</w:t>
      </w:r>
      <w:r w:rsidR="00C81AAC">
        <w:rPr>
          <w:rFonts w:ascii="Times New Roman" w:hAnsi="Times New Roman" w:cs="Times New Roman"/>
        </w:rPr>
        <w:t xml:space="preserve">u od </w:t>
      </w:r>
      <w:r w:rsidR="00E65772" w:rsidRPr="00041848">
        <w:rPr>
          <w:rFonts w:ascii="Times New Roman" w:hAnsi="Times New Roman" w:cs="Times New Roman"/>
        </w:rPr>
        <w:t xml:space="preserve"> 68.494,71 kn, prihod </w:t>
      </w:r>
      <w:r w:rsidR="00A85EAA" w:rsidRPr="00041848">
        <w:rPr>
          <w:rFonts w:ascii="Times New Roman" w:hAnsi="Times New Roman" w:cs="Times New Roman"/>
        </w:rPr>
        <w:t xml:space="preserve">za Erasmus i mobilnost nastavnog i nenastavnog osoblja </w:t>
      </w:r>
      <w:r w:rsidR="00C81AAC">
        <w:rPr>
          <w:rFonts w:ascii="Times New Roman" w:hAnsi="Times New Roman" w:cs="Times New Roman"/>
        </w:rPr>
        <w:t xml:space="preserve">u </w:t>
      </w:r>
      <w:r w:rsidR="00A85EAA" w:rsidRPr="00041848">
        <w:rPr>
          <w:rFonts w:ascii="Times New Roman" w:hAnsi="Times New Roman" w:cs="Times New Roman"/>
        </w:rPr>
        <w:t>iznos</w:t>
      </w:r>
      <w:r w:rsidR="00C81AAC">
        <w:rPr>
          <w:rFonts w:ascii="Times New Roman" w:hAnsi="Times New Roman" w:cs="Times New Roman"/>
        </w:rPr>
        <w:t>u</w:t>
      </w:r>
      <w:r w:rsidR="00A85EAA" w:rsidRPr="00041848">
        <w:rPr>
          <w:rFonts w:ascii="Times New Roman" w:hAnsi="Times New Roman" w:cs="Times New Roman"/>
        </w:rPr>
        <w:t xml:space="preserve"> 56.499,49 kn</w:t>
      </w:r>
      <w:r w:rsidR="00C81AAC">
        <w:rPr>
          <w:rFonts w:ascii="Times New Roman" w:hAnsi="Times New Roman" w:cs="Times New Roman"/>
        </w:rPr>
        <w:t>;</w:t>
      </w:r>
      <w:r w:rsidR="00A85EAA" w:rsidRPr="00041848">
        <w:rPr>
          <w:rFonts w:ascii="Times New Roman" w:hAnsi="Times New Roman" w:cs="Times New Roman"/>
        </w:rPr>
        <w:t xml:space="preserve"> </w:t>
      </w:r>
      <w:r w:rsidR="00C81AAC">
        <w:rPr>
          <w:rFonts w:ascii="Times New Roman" w:hAnsi="Times New Roman" w:cs="Times New Roman"/>
        </w:rPr>
        <w:t>t</w:t>
      </w:r>
      <w:r w:rsidR="00A85EAA" w:rsidRPr="00041848">
        <w:rPr>
          <w:rFonts w:ascii="Times New Roman" w:hAnsi="Times New Roman" w:cs="Times New Roman"/>
        </w:rPr>
        <w:t xml:space="preserve">ekuće pomoći iz Grada </w:t>
      </w:r>
      <w:r w:rsidR="00C81AAC">
        <w:rPr>
          <w:rFonts w:ascii="Times New Roman" w:hAnsi="Times New Roman" w:cs="Times New Roman"/>
        </w:rPr>
        <w:t xml:space="preserve">za </w:t>
      </w:r>
      <w:r w:rsidR="00BE029C" w:rsidRPr="00041848">
        <w:rPr>
          <w:rFonts w:ascii="Times New Roman" w:hAnsi="Times New Roman" w:cs="Times New Roman"/>
        </w:rPr>
        <w:t xml:space="preserve">  2. međunarodno natjecanje </w:t>
      </w:r>
      <w:r w:rsidR="00BE029C">
        <w:rPr>
          <w:rFonts w:ascii="Times New Roman" w:hAnsi="Times New Roman" w:cs="Times New Roman"/>
        </w:rPr>
        <w:t xml:space="preserve">glazbenika </w:t>
      </w:r>
      <w:r w:rsidR="00C81AAC">
        <w:rPr>
          <w:rFonts w:ascii="Times New Roman" w:hAnsi="Times New Roman" w:cs="Times New Roman"/>
        </w:rPr>
        <w:t xml:space="preserve">u 2022.godini </w:t>
      </w:r>
      <w:r w:rsidR="00BE029C">
        <w:rPr>
          <w:rFonts w:ascii="Times New Roman" w:hAnsi="Times New Roman" w:cs="Times New Roman"/>
        </w:rPr>
        <w:t>od</w:t>
      </w:r>
      <w:r w:rsidR="00A85EAA" w:rsidRPr="00041848">
        <w:rPr>
          <w:rFonts w:ascii="Times New Roman" w:hAnsi="Times New Roman" w:cs="Times New Roman"/>
        </w:rPr>
        <w:t xml:space="preserve"> 30.000,00 kn</w:t>
      </w:r>
      <w:r w:rsidR="00BE029C">
        <w:rPr>
          <w:rFonts w:ascii="Times New Roman" w:hAnsi="Times New Roman" w:cs="Times New Roman"/>
        </w:rPr>
        <w:t xml:space="preserve">; </w:t>
      </w:r>
      <w:r w:rsidR="00A85EAA" w:rsidRPr="00041848">
        <w:rPr>
          <w:rFonts w:ascii="Times New Roman" w:hAnsi="Times New Roman" w:cs="Times New Roman"/>
        </w:rPr>
        <w:t xml:space="preserve"> </w:t>
      </w:r>
      <w:r w:rsidR="00BE029C">
        <w:rPr>
          <w:rFonts w:ascii="Times New Roman" w:hAnsi="Times New Roman" w:cs="Times New Roman"/>
        </w:rPr>
        <w:t xml:space="preserve">te </w:t>
      </w:r>
      <w:r w:rsidR="00A85EAA" w:rsidRPr="00041848">
        <w:rPr>
          <w:rFonts w:ascii="Times New Roman" w:hAnsi="Times New Roman" w:cs="Times New Roman"/>
        </w:rPr>
        <w:t xml:space="preserve">kapitalna pomoć </w:t>
      </w:r>
      <w:r w:rsidR="00265732" w:rsidRPr="00041848">
        <w:rPr>
          <w:rFonts w:ascii="Times New Roman" w:hAnsi="Times New Roman" w:cs="Times New Roman"/>
        </w:rPr>
        <w:t xml:space="preserve">iz gradskog proračuna za pokriće odvjetničkih troškova radi spora sa izvođačem radova na novoj zgradi </w:t>
      </w:r>
      <w:r w:rsidR="00A85EAA" w:rsidRPr="00041848">
        <w:rPr>
          <w:rFonts w:ascii="Times New Roman" w:hAnsi="Times New Roman" w:cs="Times New Roman"/>
        </w:rPr>
        <w:t>u iznosu od 648.150,02 kn</w:t>
      </w:r>
      <w:r w:rsidR="00265732" w:rsidRPr="00041848">
        <w:rPr>
          <w:rFonts w:ascii="Times New Roman" w:hAnsi="Times New Roman" w:cs="Times New Roman"/>
        </w:rPr>
        <w:t xml:space="preserve"> a sve prema ranije potpisanom spor</w:t>
      </w:r>
      <w:r w:rsidR="00BE029C">
        <w:rPr>
          <w:rFonts w:ascii="Times New Roman" w:hAnsi="Times New Roman" w:cs="Times New Roman"/>
        </w:rPr>
        <w:t>azumu</w:t>
      </w:r>
      <w:r w:rsidRPr="00041848">
        <w:rPr>
          <w:rFonts w:ascii="Times New Roman" w:hAnsi="Times New Roman" w:cs="Times New Roman"/>
        </w:rPr>
        <w:t xml:space="preserve">. </w:t>
      </w:r>
      <w:r w:rsidR="00265732" w:rsidRPr="00041848">
        <w:rPr>
          <w:rFonts w:ascii="Times New Roman" w:hAnsi="Times New Roman" w:cs="Times New Roman"/>
        </w:rPr>
        <w:t>Od tekućih pomoći od korisnika istog proračuna dobili smo u 202</w:t>
      </w:r>
      <w:r w:rsidR="00890D84" w:rsidRPr="00041848">
        <w:rPr>
          <w:rFonts w:ascii="Times New Roman" w:hAnsi="Times New Roman" w:cs="Times New Roman"/>
        </w:rPr>
        <w:t>2</w:t>
      </w:r>
      <w:r w:rsidR="00265732" w:rsidRPr="00041848">
        <w:rPr>
          <w:rFonts w:ascii="Times New Roman" w:hAnsi="Times New Roman" w:cs="Times New Roman"/>
        </w:rPr>
        <w:t xml:space="preserve">.godini </w:t>
      </w:r>
      <w:r w:rsidR="00890D84" w:rsidRPr="00041848">
        <w:rPr>
          <w:rFonts w:ascii="Times New Roman" w:hAnsi="Times New Roman" w:cs="Times New Roman"/>
        </w:rPr>
        <w:t xml:space="preserve">148.294,77 </w:t>
      </w:r>
      <w:r w:rsidR="00265732" w:rsidRPr="00041848">
        <w:rPr>
          <w:rFonts w:ascii="Times New Roman" w:hAnsi="Times New Roman" w:cs="Times New Roman"/>
        </w:rPr>
        <w:t xml:space="preserve">kn za </w:t>
      </w:r>
      <w:r w:rsidRPr="00041848">
        <w:rPr>
          <w:rFonts w:ascii="Times New Roman" w:hAnsi="Times New Roman" w:cs="Times New Roman"/>
        </w:rPr>
        <w:t xml:space="preserve">realizaciju </w:t>
      </w:r>
      <w:r w:rsidR="00BE029C">
        <w:rPr>
          <w:rFonts w:ascii="Times New Roman" w:hAnsi="Times New Roman" w:cs="Times New Roman"/>
        </w:rPr>
        <w:t xml:space="preserve">tekućih </w:t>
      </w:r>
      <w:r w:rsidR="00265732" w:rsidRPr="00041848">
        <w:rPr>
          <w:rFonts w:ascii="Times New Roman" w:hAnsi="Times New Roman" w:cs="Times New Roman"/>
        </w:rPr>
        <w:t>projek</w:t>
      </w:r>
      <w:r w:rsidRPr="00041848">
        <w:rPr>
          <w:rFonts w:ascii="Times New Roman" w:hAnsi="Times New Roman" w:cs="Times New Roman"/>
        </w:rPr>
        <w:t>ata u 2022.god.</w:t>
      </w:r>
    </w:p>
    <w:p w:rsidR="006B6E48" w:rsidRPr="00041848" w:rsidRDefault="006B6E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U ostvareni prihod od imovine na kontu 64 u ukupnom iznosu od 2.196,97 kn što je 101,7% više u odnosu na 2021.godinu, a sastoji se od: prihoda od pozitivnih tečajnih razlika u iznosu od 2.111,76 kn i 85,21 kn kamate.</w:t>
      </w:r>
    </w:p>
    <w:p w:rsidR="00265732" w:rsidRPr="00041848" w:rsidRDefault="006B6E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Na kontu</w:t>
      </w:r>
      <w:r w:rsidR="00265732" w:rsidRPr="00041848">
        <w:rPr>
          <w:rFonts w:ascii="Times New Roman" w:hAnsi="Times New Roman" w:cs="Times New Roman"/>
        </w:rPr>
        <w:t xml:space="preserve"> 65</w:t>
      </w:r>
      <w:r w:rsidRPr="00041848">
        <w:rPr>
          <w:rFonts w:ascii="Times New Roman" w:hAnsi="Times New Roman" w:cs="Times New Roman"/>
        </w:rPr>
        <w:t xml:space="preserve"> iskazan je </w:t>
      </w:r>
      <w:r w:rsidR="00265732" w:rsidRPr="00041848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>p</w:t>
      </w:r>
      <w:r w:rsidR="00265732" w:rsidRPr="00041848">
        <w:rPr>
          <w:rFonts w:ascii="Times New Roman" w:hAnsi="Times New Roman" w:cs="Times New Roman"/>
        </w:rPr>
        <w:t>rihoda od pristojbi po posebnim propisima</w:t>
      </w:r>
      <w:r w:rsidR="005262D0" w:rsidRPr="00041848">
        <w:rPr>
          <w:rFonts w:ascii="Times New Roman" w:hAnsi="Times New Roman" w:cs="Times New Roman"/>
        </w:rPr>
        <w:t xml:space="preserve"> u što spada </w:t>
      </w:r>
      <w:r w:rsidRPr="00041848">
        <w:rPr>
          <w:rFonts w:ascii="Times New Roman" w:hAnsi="Times New Roman" w:cs="Times New Roman"/>
        </w:rPr>
        <w:t xml:space="preserve">prihod od školarina integriranog studija u iznosu od </w:t>
      </w:r>
      <w:r w:rsidR="00890D84" w:rsidRPr="00041848">
        <w:rPr>
          <w:rFonts w:ascii="Times New Roman" w:hAnsi="Times New Roman" w:cs="Times New Roman"/>
        </w:rPr>
        <w:t>929.912,74</w:t>
      </w:r>
      <w:r w:rsidR="00265732" w:rsidRPr="00041848">
        <w:rPr>
          <w:rFonts w:ascii="Times New Roman" w:hAnsi="Times New Roman" w:cs="Times New Roman"/>
        </w:rPr>
        <w:t xml:space="preserve"> kn</w:t>
      </w:r>
      <w:r w:rsidR="005262D0" w:rsidRPr="00041848">
        <w:rPr>
          <w:rFonts w:ascii="Times New Roman" w:hAnsi="Times New Roman" w:cs="Times New Roman"/>
        </w:rPr>
        <w:t xml:space="preserve"> što je manje za 9,50% u odnosu na 2021.godinu.</w:t>
      </w:r>
      <w:r w:rsidR="00265732" w:rsidRPr="00041848">
        <w:rPr>
          <w:rFonts w:ascii="Times New Roman" w:hAnsi="Times New Roman" w:cs="Times New Roman"/>
        </w:rPr>
        <w:t xml:space="preserve"> Prihoda od pruženih usluga na tržištu </w:t>
      </w:r>
      <w:r w:rsidR="00BE029C">
        <w:rPr>
          <w:rFonts w:ascii="Times New Roman" w:hAnsi="Times New Roman" w:cs="Times New Roman"/>
        </w:rPr>
        <w:t xml:space="preserve">iznosi </w:t>
      </w:r>
      <w:r w:rsidR="00890D84" w:rsidRPr="00041848">
        <w:rPr>
          <w:rFonts w:ascii="Times New Roman" w:hAnsi="Times New Roman" w:cs="Times New Roman"/>
        </w:rPr>
        <w:t>1</w:t>
      </w:r>
      <w:r w:rsidR="005262D0" w:rsidRPr="00041848">
        <w:rPr>
          <w:rFonts w:ascii="Times New Roman" w:hAnsi="Times New Roman" w:cs="Times New Roman"/>
        </w:rPr>
        <w:t>.</w:t>
      </w:r>
      <w:r w:rsidR="00890D84" w:rsidRPr="00041848">
        <w:rPr>
          <w:rFonts w:ascii="Times New Roman" w:hAnsi="Times New Roman" w:cs="Times New Roman"/>
        </w:rPr>
        <w:t>277</w:t>
      </w:r>
      <w:r w:rsidR="005262D0" w:rsidRPr="00041848">
        <w:rPr>
          <w:rFonts w:ascii="Times New Roman" w:hAnsi="Times New Roman" w:cs="Times New Roman"/>
        </w:rPr>
        <w:t>.</w:t>
      </w:r>
      <w:r w:rsidR="00890D84" w:rsidRPr="00041848">
        <w:rPr>
          <w:rFonts w:ascii="Times New Roman" w:hAnsi="Times New Roman" w:cs="Times New Roman"/>
        </w:rPr>
        <w:t xml:space="preserve">366,63 </w:t>
      </w:r>
      <w:r w:rsidR="00265732" w:rsidRPr="00041848">
        <w:rPr>
          <w:rFonts w:ascii="Times New Roman" w:hAnsi="Times New Roman" w:cs="Times New Roman"/>
        </w:rPr>
        <w:t xml:space="preserve"> kn</w:t>
      </w:r>
      <w:r w:rsidR="005262D0" w:rsidRPr="00041848">
        <w:rPr>
          <w:rFonts w:ascii="Times New Roman" w:hAnsi="Times New Roman" w:cs="Times New Roman"/>
        </w:rPr>
        <w:t xml:space="preserve"> </w:t>
      </w:r>
      <w:r w:rsidR="00BE029C">
        <w:rPr>
          <w:rFonts w:ascii="Times New Roman" w:hAnsi="Times New Roman" w:cs="Times New Roman"/>
        </w:rPr>
        <w:t xml:space="preserve">,a </w:t>
      </w:r>
      <w:r w:rsidR="005262D0" w:rsidRPr="00041848">
        <w:rPr>
          <w:rFonts w:ascii="Times New Roman" w:hAnsi="Times New Roman" w:cs="Times New Roman"/>
        </w:rPr>
        <w:t>uključuje usluge najma prostora, instrumenata, prihode od školarina na doktorskom i specijalističkom studiju i za 125,40% je viši u odnosu na 2021.godinu.</w:t>
      </w:r>
    </w:p>
    <w:p w:rsidR="005262D0" w:rsidRPr="004F24D6" w:rsidRDefault="005262D0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Ukupan iznos primljenih namjenskih donacija je 84.243,09 kn </w:t>
      </w:r>
      <w:r w:rsidR="004F24D6">
        <w:rPr>
          <w:rFonts w:ascii="Times New Roman" w:hAnsi="Times New Roman" w:cs="Times New Roman"/>
        </w:rPr>
        <w:t xml:space="preserve">OD Američke ambasade za projekt za projekt </w:t>
      </w:r>
      <w:r w:rsidR="004F24D6" w:rsidRPr="004F24D6">
        <w:rPr>
          <w:rFonts w:ascii="Times New Roman" w:hAnsi="Times New Roman" w:cs="Times New Roman"/>
          <w:i/>
        </w:rPr>
        <w:t>Ljudska prava kroz kulturnu razmjenu</w:t>
      </w:r>
      <w:r w:rsidR="004F24D6">
        <w:rPr>
          <w:rFonts w:ascii="Times New Roman" w:hAnsi="Times New Roman" w:cs="Times New Roman"/>
          <w:i/>
        </w:rPr>
        <w:t xml:space="preserve">, </w:t>
      </w:r>
      <w:r w:rsidR="004F24D6" w:rsidRPr="004F24D6">
        <w:rPr>
          <w:rFonts w:ascii="Times New Roman" w:hAnsi="Times New Roman" w:cs="Times New Roman"/>
        </w:rPr>
        <w:t>koji je realiziran u 2022.godini.</w:t>
      </w:r>
    </w:p>
    <w:p w:rsidR="005262D0" w:rsidRPr="00041848" w:rsidRDefault="00BE029C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5262D0" w:rsidRPr="00041848">
        <w:rPr>
          <w:rFonts w:ascii="Times New Roman" w:hAnsi="Times New Roman" w:cs="Times New Roman"/>
        </w:rPr>
        <w:t xml:space="preserve">kupnog prihod iz nadležnog proračuna </w:t>
      </w:r>
      <w:r>
        <w:rPr>
          <w:rFonts w:ascii="Times New Roman" w:hAnsi="Times New Roman" w:cs="Times New Roman"/>
        </w:rPr>
        <w:t xml:space="preserve">na kontu 67 iznosi </w:t>
      </w:r>
      <w:r w:rsidR="005262D0" w:rsidRPr="00041848">
        <w:rPr>
          <w:rFonts w:ascii="Times New Roman" w:hAnsi="Times New Roman" w:cs="Times New Roman"/>
        </w:rPr>
        <w:t xml:space="preserve"> 48.128.594,07 kn </w:t>
      </w:r>
      <w:r>
        <w:rPr>
          <w:rFonts w:ascii="Times New Roman" w:hAnsi="Times New Roman" w:cs="Times New Roman"/>
        </w:rPr>
        <w:t>i namjenjen je za</w:t>
      </w:r>
      <w:r w:rsidR="005262D0" w:rsidRPr="00041848">
        <w:rPr>
          <w:rFonts w:ascii="Times New Roman" w:hAnsi="Times New Roman" w:cs="Times New Roman"/>
        </w:rPr>
        <w:t xml:space="preserve"> financiranje rashoda poslovanja i viši su za 2,7</w:t>
      </w:r>
      <w:r w:rsidR="00B00A06" w:rsidRPr="00041848">
        <w:rPr>
          <w:rFonts w:ascii="Times New Roman" w:hAnsi="Times New Roman" w:cs="Times New Roman"/>
        </w:rPr>
        <w:t>1</w:t>
      </w:r>
      <w:r w:rsidR="005262D0" w:rsidRPr="00041848">
        <w:rPr>
          <w:rFonts w:ascii="Times New Roman" w:hAnsi="Times New Roman" w:cs="Times New Roman"/>
        </w:rPr>
        <w:t>% u odnosu na 2022.godinu.</w:t>
      </w:r>
    </w:p>
    <w:p w:rsidR="00B914C1" w:rsidRPr="00041848" w:rsidRDefault="00B914C1" w:rsidP="00041848">
      <w:pPr>
        <w:ind w:left="360"/>
        <w:jc w:val="both"/>
        <w:rPr>
          <w:rFonts w:ascii="Times New Roman" w:hAnsi="Times New Roman" w:cs="Times New Roman"/>
        </w:rPr>
      </w:pPr>
    </w:p>
    <w:p w:rsidR="006B6E48" w:rsidRPr="00041848" w:rsidRDefault="00B00A06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Rashodi poslovanja</w:t>
      </w:r>
    </w:p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72"/>
        <w:gridCol w:w="1377"/>
        <w:gridCol w:w="1673"/>
        <w:gridCol w:w="1826"/>
        <w:gridCol w:w="1356"/>
      </w:tblGrid>
      <w:tr w:rsidR="00B00A06" w:rsidRPr="00041848" w:rsidTr="00B00A06">
        <w:trPr>
          <w:trHeight w:val="452"/>
        </w:trPr>
        <w:tc>
          <w:tcPr>
            <w:tcW w:w="2872" w:type="dxa"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B00A06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B00A06" w:rsidRPr="00041848" w:rsidTr="00B00A06">
        <w:trPr>
          <w:trHeight w:val="452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POSLOVANJA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49.450.895,00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52.764.308,83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106,7</w:t>
            </w:r>
          </w:p>
        </w:tc>
      </w:tr>
      <w:tr w:rsidR="00B00A06" w:rsidRPr="00041848" w:rsidTr="00FB5C04">
        <w:trPr>
          <w:trHeight w:val="453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za zaposlene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39.545.712,00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41.310.033,05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104,5</w:t>
            </w:r>
          </w:p>
        </w:tc>
      </w:tr>
      <w:tr w:rsidR="00B00A06" w:rsidRPr="00041848" w:rsidTr="003C7303">
        <w:trPr>
          <w:trHeight w:val="452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Materijalni rashodi</w:t>
            </w:r>
            <w:r w:rsidR="00BE02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9.878.066,00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11.359.016,56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115,0</w:t>
            </w:r>
          </w:p>
        </w:tc>
      </w:tr>
      <w:tr w:rsidR="00B00A06" w:rsidRPr="00041848" w:rsidTr="00A52C5F">
        <w:trPr>
          <w:trHeight w:val="453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Financijski rashodi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20.972,00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88.759,21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423,2</w:t>
            </w:r>
          </w:p>
        </w:tc>
      </w:tr>
      <w:tr w:rsidR="00B00A06" w:rsidRPr="00041848" w:rsidTr="00216ACE">
        <w:trPr>
          <w:trHeight w:val="452"/>
        </w:trPr>
        <w:tc>
          <w:tcPr>
            <w:tcW w:w="2872" w:type="dxa"/>
            <w:vAlign w:val="center"/>
            <w:hideMark/>
          </w:tcPr>
          <w:p w:rsidR="00B00A06" w:rsidRPr="00041848" w:rsidRDefault="00B00A06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Naknade građanima i kućanstvima na temelju osiguranja i druge </w:t>
            </w:r>
          </w:p>
        </w:tc>
        <w:tc>
          <w:tcPr>
            <w:tcW w:w="1377" w:type="dxa"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673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5.200,00</w:t>
            </w:r>
          </w:p>
        </w:tc>
        <w:tc>
          <w:tcPr>
            <w:tcW w:w="182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6.500,01</w:t>
            </w:r>
          </w:p>
        </w:tc>
        <w:tc>
          <w:tcPr>
            <w:tcW w:w="1356" w:type="dxa"/>
            <w:noWrap/>
            <w:hideMark/>
          </w:tcPr>
          <w:p w:rsidR="00B00A06" w:rsidRPr="00041848" w:rsidRDefault="00B00A06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125,0</w:t>
            </w:r>
          </w:p>
        </w:tc>
      </w:tr>
    </w:tbl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</w:p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</w:p>
    <w:p w:rsidR="00B00A06" w:rsidRPr="00041848" w:rsidRDefault="00B00A06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Ukupni rashodi poslovanja u izvještajnom razdoblju od 01.01. do 31.12.202</w:t>
      </w:r>
      <w:r w:rsidR="00E0507F" w:rsidRPr="00041848">
        <w:rPr>
          <w:rFonts w:ascii="Times New Roman" w:hAnsi="Times New Roman" w:cs="Times New Roman"/>
        </w:rPr>
        <w:t>2</w:t>
      </w:r>
      <w:r w:rsidRPr="00041848">
        <w:rPr>
          <w:rFonts w:ascii="Times New Roman" w:hAnsi="Times New Roman" w:cs="Times New Roman"/>
        </w:rPr>
        <w:t>. godine iznos</w:t>
      </w:r>
      <w:r w:rsidR="00E0507F" w:rsidRPr="00041848">
        <w:rPr>
          <w:rFonts w:ascii="Times New Roman" w:hAnsi="Times New Roman" w:cs="Times New Roman"/>
        </w:rPr>
        <w:t>i</w:t>
      </w:r>
      <w:r w:rsidRPr="00041848">
        <w:rPr>
          <w:rFonts w:ascii="Times New Roman" w:hAnsi="Times New Roman" w:cs="Times New Roman"/>
        </w:rPr>
        <w:t xml:space="preserve"> </w:t>
      </w:r>
      <w:r w:rsidR="00E0507F" w:rsidRPr="00041848">
        <w:rPr>
          <w:rFonts w:ascii="Times New Roman" w:hAnsi="Times New Roman" w:cs="Times New Roman"/>
        </w:rPr>
        <w:t>52.764.308,83</w:t>
      </w:r>
      <w:r w:rsidRPr="00041848">
        <w:rPr>
          <w:rFonts w:ascii="Times New Roman" w:hAnsi="Times New Roman" w:cs="Times New Roman"/>
        </w:rPr>
        <w:t xml:space="preserve"> kn </w:t>
      </w:r>
      <w:r w:rsidR="00E0507F" w:rsidRPr="00041848">
        <w:rPr>
          <w:rFonts w:ascii="Times New Roman" w:hAnsi="Times New Roman" w:cs="Times New Roman"/>
        </w:rPr>
        <w:t>što je</w:t>
      </w:r>
      <w:r w:rsidRPr="00041848">
        <w:rPr>
          <w:rFonts w:ascii="Times New Roman" w:hAnsi="Times New Roman" w:cs="Times New Roman"/>
        </w:rPr>
        <w:t xml:space="preserve"> </w:t>
      </w:r>
      <w:r w:rsidR="00E0507F" w:rsidRPr="00041848">
        <w:rPr>
          <w:rFonts w:ascii="Times New Roman" w:hAnsi="Times New Roman" w:cs="Times New Roman"/>
        </w:rPr>
        <w:t>6,7</w:t>
      </w:r>
      <w:r w:rsidRPr="00041848">
        <w:rPr>
          <w:rFonts w:ascii="Times New Roman" w:hAnsi="Times New Roman" w:cs="Times New Roman"/>
        </w:rPr>
        <w:t>%</w:t>
      </w:r>
      <w:r w:rsidR="00BE029C">
        <w:rPr>
          <w:rFonts w:ascii="Times New Roman" w:hAnsi="Times New Roman" w:cs="Times New Roman"/>
        </w:rPr>
        <w:t xml:space="preserve"> više</w:t>
      </w:r>
      <w:r w:rsidRPr="00041848">
        <w:rPr>
          <w:rFonts w:ascii="Times New Roman" w:hAnsi="Times New Roman" w:cs="Times New Roman"/>
        </w:rPr>
        <w:t xml:space="preserve"> u odnosu na 202</w:t>
      </w:r>
      <w:r w:rsidR="00E0507F" w:rsidRPr="00041848">
        <w:rPr>
          <w:rFonts w:ascii="Times New Roman" w:hAnsi="Times New Roman" w:cs="Times New Roman"/>
        </w:rPr>
        <w:t>1</w:t>
      </w:r>
      <w:r w:rsidRPr="00041848">
        <w:rPr>
          <w:rFonts w:ascii="Times New Roman" w:hAnsi="Times New Roman" w:cs="Times New Roman"/>
        </w:rPr>
        <w:t xml:space="preserve">.godinu. Najveće učešće u strukturi </w:t>
      </w:r>
      <w:r w:rsidR="00BE029C">
        <w:rPr>
          <w:rFonts w:ascii="Times New Roman" w:hAnsi="Times New Roman" w:cs="Times New Roman"/>
        </w:rPr>
        <w:t>rashoda poslovanja</w:t>
      </w:r>
      <w:r w:rsidRPr="00041848">
        <w:rPr>
          <w:rFonts w:ascii="Times New Roman" w:hAnsi="Times New Roman" w:cs="Times New Roman"/>
        </w:rPr>
        <w:t xml:space="preserve"> odnosi </w:t>
      </w:r>
      <w:r w:rsidR="00BE029C">
        <w:rPr>
          <w:rFonts w:ascii="Times New Roman" w:hAnsi="Times New Roman" w:cs="Times New Roman"/>
        </w:rPr>
        <w:t xml:space="preserve">se </w:t>
      </w:r>
      <w:r w:rsidRPr="00041848">
        <w:rPr>
          <w:rFonts w:ascii="Times New Roman" w:hAnsi="Times New Roman" w:cs="Times New Roman"/>
        </w:rPr>
        <w:t>na rashode za zaposlene</w:t>
      </w:r>
      <w:r w:rsidR="00E0507F" w:rsidRPr="00041848">
        <w:rPr>
          <w:rFonts w:ascii="Times New Roman" w:hAnsi="Times New Roman" w:cs="Times New Roman"/>
        </w:rPr>
        <w:t xml:space="preserve"> u iznosu od 41.310.033,05 kn</w:t>
      </w:r>
      <w:r w:rsidRPr="00041848">
        <w:rPr>
          <w:rFonts w:ascii="Times New Roman" w:hAnsi="Times New Roman" w:cs="Times New Roman"/>
        </w:rPr>
        <w:t xml:space="preserve"> </w:t>
      </w:r>
      <w:r w:rsidR="00E0507F" w:rsidRPr="00041848">
        <w:rPr>
          <w:rFonts w:ascii="Times New Roman" w:hAnsi="Times New Roman" w:cs="Times New Roman"/>
        </w:rPr>
        <w:t>što je za 4,5% više u odnosu na 2022.godinu.</w:t>
      </w:r>
      <w:r w:rsidRPr="00041848">
        <w:rPr>
          <w:rFonts w:ascii="Times New Roman" w:hAnsi="Times New Roman" w:cs="Times New Roman"/>
        </w:rPr>
        <w:t xml:space="preserve"> </w:t>
      </w:r>
      <w:r w:rsidR="00BE029C">
        <w:rPr>
          <w:rFonts w:ascii="Times New Roman" w:hAnsi="Times New Roman" w:cs="Times New Roman"/>
        </w:rPr>
        <w:t>Na ovaj ras je utjecalo povećanje osnovice brutto plaće.</w:t>
      </w:r>
    </w:p>
    <w:p w:rsidR="001014C9" w:rsidRPr="00041848" w:rsidRDefault="00B00A06" w:rsidP="00041848">
      <w:pPr>
        <w:jc w:val="both"/>
        <w:rPr>
          <w:rFonts w:ascii="Times New Roman" w:hAnsi="Times New Roman" w:cs="Times New Roman"/>
          <w:color w:val="000000"/>
        </w:rPr>
      </w:pPr>
      <w:r w:rsidRPr="00041848">
        <w:rPr>
          <w:rFonts w:ascii="Times New Roman" w:hAnsi="Times New Roman" w:cs="Times New Roman"/>
        </w:rPr>
        <w:lastRenderedPageBreak/>
        <w:t xml:space="preserve">Materijalni rashodi </w:t>
      </w:r>
      <w:r w:rsidR="00BE029C">
        <w:rPr>
          <w:rFonts w:ascii="Times New Roman" w:hAnsi="Times New Roman" w:cs="Times New Roman"/>
        </w:rPr>
        <w:t xml:space="preserve">na kontu 32 </w:t>
      </w:r>
      <w:r w:rsidR="00E0507F" w:rsidRPr="00041848">
        <w:rPr>
          <w:rFonts w:ascii="Times New Roman" w:hAnsi="Times New Roman" w:cs="Times New Roman"/>
        </w:rPr>
        <w:t>iznose 11.359.016,56 kn</w:t>
      </w:r>
      <w:r w:rsidRPr="00041848">
        <w:rPr>
          <w:rFonts w:ascii="Times New Roman" w:hAnsi="Times New Roman" w:cs="Times New Roman"/>
        </w:rPr>
        <w:t xml:space="preserve">  </w:t>
      </w:r>
      <w:r w:rsidR="00BE029C">
        <w:rPr>
          <w:rFonts w:ascii="Times New Roman" w:hAnsi="Times New Roman" w:cs="Times New Roman"/>
        </w:rPr>
        <w:t>š</w:t>
      </w:r>
      <w:r w:rsidRPr="00041848">
        <w:rPr>
          <w:rFonts w:ascii="Times New Roman" w:hAnsi="Times New Roman" w:cs="Times New Roman"/>
        </w:rPr>
        <w:t xml:space="preserve">to je za </w:t>
      </w:r>
      <w:r w:rsidR="00E0507F" w:rsidRPr="00041848">
        <w:rPr>
          <w:rFonts w:ascii="Times New Roman" w:hAnsi="Times New Roman" w:cs="Times New Roman"/>
        </w:rPr>
        <w:t>15</w:t>
      </w:r>
      <w:r w:rsidRPr="00041848">
        <w:rPr>
          <w:rFonts w:ascii="Times New Roman" w:hAnsi="Times New Roman" w:cs="Times New Roman"/>
        </w:rPr>
        <w:t>% više u odnosu na prethodnu godinu</w:t>
      </w:r>
      <w:r w:rsidR="00E0507F" w:rsidRPr="00041848">
        <w:rPr>
          <w:rFonts w:ascii="Times New Roman" w:hAnsi="Times New Roman" w:cs="Times New Roman"/>
        </w:rPr>
        <w:t>.</w:t>
      </w:r>
      <w:r w:rsidR="00BE029C">
        <w:rPr>
          <w:rFonts w:ascii="Times New Roman" w:hAnsi="Times New Roman" w:cs="Times New Roman"/>
        </w:rPr>
        <w:t xml:space="preserve"> Na ovo povećanje iznosa materijalnih rashoda najviš eje utjecalo povećanje cijene energenata i materijala za održavanje. </w:t>
      </w:r>
      <w:r w:rsidR="00E0507F" w:rsidRPr="00041848">
        <w:rPr>
          <w:rFonts w:ascii="Times New Roman" w:hAnsi="Times New Roman" w:cs="Times New Roman"/>
        </w:rPr>
        <w:t xml:space="preserve">U strukturi materijalnih rashoda rashodi za materijal i energiju čine 34,67%, </w:t>
      </w:r>
      <w:r w:rsidR="00BE029C">
        <w:rPr>
          <w:rFonts w:ascii="Times New Roman" w:hAnsi="Times New Roman" w:cs="Times New Roman"/>
        </w:rPr>
        <w:t>od ukupnih materijalih rashoda, o</w:t>
      </w:r>
      <w:r w:rsidR="00E0507F" w:rsidRPr="00041848">
        <w:rPr>
          <w:rFonts w:ascii="Times New Roman" w:hAnsi="Times New Roman" w:cs="Times New Roman"/>
        </w:rPr>
        <w:t>dnosno</w:t>
      </w:r>
      <w:r w:rsidR="00BE029C">
        <w:rPr>
          <w:rFonts w:ascii="Times New Roman" w:hAnsi="Times New Roman" w:cs="Times New Roman"/>
        </w:rPr>
        <w:t xml:space="preserve"> </w:t>
      </w:r>
      <w:r w:rsidR="00E0507F" w:rsidRPr="00041848">
        <w:rPr>
          <w:rFonts w:ascii="Times New Roman" w:hAnsi="Times New Roman" w:cs="Times New Roman"/>
        </w:rPr>
        <w:t>3.183.537,76 kn</w:t>
      </w:r>
      <w:r w:rsidR="00515B8C">
        <w:rPr>
          <w:rFonts w:ascii="Times New Roman" w:hAnsi="Times New Roman" w:cs="Times New Roman"/>
        </w:rPr>
        <w:t xml:space="preserve"> iznosi</w:t>
      </w:r>
      <w:r w:rsidR="00E0507F" w:rsidRPr="00041848">
        <w:rPr>
          <w:rFonts w:ascii="Times New Roman" w:hAnsi="Times New Roman" w:cs="Times New Roman"/>
        </w:rPr>
        <w:t xml:space="preserve"> trošak energije i 755.272,81 kn troškovi uredskog i materijala za održavanje. Rashodi za usluge čine 53,23% a najveći udio imaju troškovi vanjske suradnje u iznosu od </w:t>
      </w:r>
      <w:r w:rsidR="00E0507F" w:rsidRPr="00041848">
        <w:rPr>
          <w:rFonts w:ascii="Times New Roman" w:hAnsi="Times New Roman" w:cs="Times New Roman"/>
          <w:color w:val="000000"/>
        </w:rPr>
        <w:t xml:space="preserve">3.143.840,35 kn te usluge održavanje zgrade u iznosu od </w:t>
      </w:r>
      <w:r w:rsidR="001014C9" w:rsidRPr="00041848">
        <w:rPr>
          <w:rFonts w:ascii="Times New Roman" w:hAnsi="Times New Roman" w:cs="Times New Roman"/>
          <w:color w:val="000000"/>
        </w:rPr>
        <w:t>1.005.440,97 kn.</w:t>
      </w:r>
    </w:p>
    <w:p w:rsidR="001014C9" w:rsidRPr="00041848" w:rsidRDefault="001014C9" w:rsidP="00041848">
      <w:pPr>
        <w:jc w:val="both"/>
        <w:rPr>
          <w:rFonts w:ascii="Times New Roman" w:hAnsi="Times New Roman" w:cs="Times New Roman"/>
          <w:color w:val="000000"/>
        </w:rPr>
      </w:pPr>
    </w:p>
    <w:p w:rsidR="001014C9" w:rsidRPr="00041848" w:rsidRDefault="001014C9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Rashodi za nabavu nefinancijske imovine </w:t>
      </w:r>
    </w:p>
    <w:p w:rsidR="001014C9" w:rsidRPr="00041848" w:rsidRDefault="001014C9" w:rsidP="00041848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1014C9" w:rsidRPr="00041848" w:rsidTr="001014C9">
        <w:trPr>
          <w:trHeight w:val="452"/>
        </w:trPr>
        <w:tc>
          <w:tcPr>
            <w:tcW w:w="2827" w:type="dxa"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1014C9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1014C9" w:rsidRPr="00041848" w:rsidTr="001014C9">
        <w:trPr>
          <w:trHeight w:val="452"/>
        </w:trPr>
        <w:tc>
          <w:tcPr>
            <w:tcW w:w="2827" w:type="dxa"/>
            <w:vAlign w:val="center"/>
            <w:hideMark/>
          </w:tcPr>
          <w:p w:rsidR="001014C9" w:rsidRPr="00041848" w:rsidRDefault="001014C9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za nabavu nefinancijske imovine 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739.248,00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4.454.135,04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602,5</w:t>
            </w:r>
          </w:p>
        </w:tc>
      </w:tr>
      <w:tr w:rsidR="001014C9" w:rsidRPr="00041848" w:rsidTr="001014C9">
        <w:trPr>
          <w:trHeight w:val="453"/>
        </w:trPr>
        <w:tc>
          <w:tcPr>
            <w:tcW w:w="2827" w:type="dxa"/>
            <w:vAlign w:val="center"/>
            <w:hideMark/>
          </w:tcPr>
          <w:p w:rsidR="001014C9" w:rsidRPr="00041848" w:rsidRDefault="001014C9" w:rsidP="00041848">
            <w:pPr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Ostala prava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450.825,00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4.250.151,48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942,7</w:t>
            </w:r>
          </w:p>
        </w:tc>
      </w:tr>
      <w:tr w:rsidR="001014C9" w:rsidRPr="00041848" w:rsidTr="001014C9">
        <w:trPr>
          <w:trHeight w:val="453"/>
        </w:trPr>
        <w:tc>
          <w:tcPr>
            <w:tcW w:w="2827" w:type="dxa"/>
            <w:vAlign w:val="center"/>
            <w:hideMark/>
          </w:tcPr>
          <w:p w:rsidR="001014C9" w:rsidRPr="00041848" w:rsidRDefault="001014C9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Rashodi za nabavu proizvedene dugotrajne imovine </w:t>
            </w:r>
          </w:p>
        </w:tc>
        <w:tc>
          <w:tcPr>
            <w:tcW w:w="1370" w:type="dxa"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1673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288.423,00</w:t>
            </w:r>
          </w:p>
        </w:tc>
        <w:tc>
          <w:tcPr>
            <w:tcW w:w="1826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203.983,56</w:t>
            </w:r>
          </w:p>
        </w:tc>
        <w:tc>
          <w:tcPr>
            <w:tcW w:w="1408" w:type="dxa"/>
            <w:noWrap/>
            <w:hideMark/>
          </w:tcPr>
          <w:p w:rsidR="001014C9" w:rsidRPr="00041848" w:rsidRDefault="001014C9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70,7</w:t>
            </w:r>
          </w:p>
        </w:tc>
      </w:tr>
    </w:tbl>
    <w:p w:rsidR="001014C9" w:rsidRPr="00041848" w:rsidRDefault="001014C9" w:rsidP="00041848">
      <w:pPr>
        <w:jc w:val="both"/>
        <w:rPr>
          <w:rFonts w:ascii="Times New Roman" w:hAnsi="Times New Roman" w:cs="Times New Roman"/>
        </w:rPr>
      </w:pPr>
    </w:p>
    <w:p w:rsidR="00B00A06" w:rsidRDefault="00B00A06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Rashodi za nabavu nefinancijske imovine iznose </w:t>
      </w:r>
      <w:r w:rsidR="001014C9" w:rsidRPr="00041848">
        <w:rPr>
          <w:rFonts w:ascii="Times New Roman" w:hAnsi="Times New Roman" w:cs="Times New Roman"/>
        </w:rPr>
        <w:t>ukupno 4.454.135,04</w:t>
      </w:r>
      <w:r w:rsidRPr="00041848">
        <w:rPr>
          <w:rFonts w:ascii="Times New Roman" w:hAnsi="Times New Roman" w:cs="Times New Roman"/>
        </w:rPr>
        <w:t xml:space="preserve"> kn</w:t>
      </w:r>
      <w:r w:rsidR="00515B8C">
        <w:rPr>
          <w:rFonts w:ascii="Times New Roman" w:hAnsi="Times New Roman" w:cs="Times New Roman"/>
        </w:rPr>
        <w:t xml:space="preserve"> na </w:t>
      </w:r>
      <w:r w:rsidR="001014C9" w:rsidRPr="00041848">
        <w:rPr>
          <w:rFonts w:ascii="Times New Roman" w:hAnsi="Times New Roman" w:cs="Times New Roman"/>
        </w:rPr>
        <w:t>ulaganje u dugotrajnu imovinu</w:t>
      </w:r>
      <w:r w:rsidR="00515B8C">
        <w:rPr>
          <w:rFonts w:ascii="Times New Roman" w:hAnsi="Times New Roman" w:cs="Times New Roman"/>
        </w:rPr>
        <w:t xml:space="preserve"> kao što su glazbeni instrumenti, kompjuteri te sitan inventar</w:t>
      </w:r>
      <w:r w:rsidR="001014C9" w:rsidRPr="00041848">
        <w:rPr>
          <w:rFonts w:ascii="Times New Roman" w:hAnsi="Times New Roman" w:cs="Times New Roman"/>
        </w:rPr>
        <w:t xml:space="preserve"> iznos</w:t>
      </w:r>
      <w:r w:rsidR="00515B8C">
        <w:rPr>
          <w:rFonts w:ascii="Times New Roman" w:hAnsi="Times New Roman" w:cs="Times New Roman"/>
        </w:rPr>
        <w:t>e</w:t>
      </w:r>
      <w:r w:rsidR="001014C9" w:rsidRPr="00041848">
        <w:rPr>
          <w:rFonts w:ascii="Times New Roman" w:hAnsi="Times New Roman" w:cs="Times New Roman"/>
        </w:rPr>
        <w:t xml:space="preserve"> 203.983,56 kn </w:t>
      </w:r>
      <w:r w:rsidR="00515B8C">
        <w:rPr>
          <w:rFonts w:ascii="Times New Roman" w:hAnsi="Times New Roman" w:cs="Times New Roman"/>
        </w:rPr>
        <w:t>Značajan dio troška za nefinacijsku imovinu čine</w:t>
      </w:r>
      <w:r w:rsidR="001014C9" w:rsidRPr="00041848">
        <w:rPr>
          <w:rFonts w:ascii="Times New Roman" w:hAnsi="Times New Roman" w:cs="Times New Roman"/>
        </w:rPr>
        <w:t xml:space="preserve"> troškovi sudskih tužbi i odvjetnika u sporu sa </w:t>
      </w:r>
      <w:r w:rsidR="00515B8C">
        <w:rPr>
          <w:rFonts w:ascii="Times New Roman" w:hAnsi="Times New Roman" w:cs="Times New Roman"/>
        </w:rPr>
        <w:t>N</w:t>
      </w:r>
      <w:r w:rsidR="001014C9" w:rsidRPr="00041848">
        <w:rPr>
          <w:rFonts w:ascii="Times New Roman" w:hAnsi="Times New Roman" w:cs="Times New Roman"/>
        </w:rPr>
        <w:t xml:space="preserve">exe gradnjom </w:t>
      </w:r>
      <w:r w:rsidR="00515B8C">
        <w:rPr>
          <w:rFonts w:ascii="Times New Roman" w:hAnsi="Times New Roman" w:cs="Times New Roman"/>
        </w:rPr>
        <w:t xml:space="preserve">d.o.o.  koji prema </w:t>
      </w:r>
      <w:r w:rsidR="001014C9" w:rsidRPr="00041848">
        <w:rPr>
          <w:rFonts w:ascii="Times New Roman" w:hAnsi="Times New Roman" w:cs="Times New Roman"/>
        </w:rPr>
        <w:t>predam pravomoćnoj presudi od iznose 4.</w:t>
      </w:r>
      <w:r w:rsidR="00515B8C">
        <w:rPr>
          <w:rFonts w:ascii="Times New Roman" w:hAnsi="Times New Roman" w:cs="Times New Roman"/>
        </w:rPr>
        <w:t>008.413,90</w:t>
      </w:r>
      <w:r w:rsidR="001014C9" w:rsidRPr="00041848">
        <w:rPr>
          <w:rFonts w:ascii="Times New Roman" w:hAnsi="Times New Roman" w:cs="Times New Roman"/>
        </w:rPr>
        <w:t xml:space="preserve"> kn.</w:t>
      </w:r>
    </w:p>
    <w:p w:rsidR="00AA01A2" w:rsidRDefault="00AA01A2" w:rsidP="00041848">
      <w:pPr>
        <w:jc w:val="both"/>
        <w:rPr>
          <w:rFonts w:ascii="Times New Roman" w:hAnsi="Times New Roman" w:cs="Times New Roman"/>
        </w:rPr>
      </w:pPr>
    </w:p>
    <w:p w:rsidR="00AA01A2" w:rsidRPr="00515B8C" w:rsidRDefault="00AA01A2" w:rsidP="00515B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15B8C">
        <w:rPr>
          <w:rFonts w:ascii="Times New Roman" w:hAnsi="Times New Roman" w:cs="Times New Roman"/>
        </w:rPr>
        <w:t>Rezultat poslovanja na kraju razdoblja:</w:t>
      </w:r>
    </w:p>
    <w:p w:rsidR="00AA01A2" w:rsidRPr="00041848" w:rsidRDefault="00AA01A2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321903" w:rsidRPr="00041848" w:rsidTr="000D271B">
        <w:trPr>
          <w:trHeight w:val="452"/>
        </w:trPr>
        <w:tc>
          <w:tcPr>
            <w:tcW w:w="2827" w:type="dxa"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 xml:space="preserve">NAZIV 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408" w:type="dxa"/>
            <w:noWrap/>
            <w:hideMark/>
          </w:tcPr>
          <w:p w:rsidR="00321903" w:rsidRPr="00041848" w:rsidRDefault="00321903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AA01A2" w:rsidRPr="00041848" w:rsidTr="0047418A">
        <w:trPr>
          <w:trHeight w:val="452"/>
        </w:trPr>
        <w:tc>
          <w:tcPr>
            <w:tcW w:w="2827" w:type="dxa"/>
            <w:hideMark/>
          </w:tcPr>
          <w:p w:rsidR="00AA01A2" w:rsidRPr="00D261DD" w:rsidRDefault="00AA01A2" w:rsidP="00AA01A2">
            <w:r w:rsidRPr="00D261DD">
              <w:t xml:space="preserve">Manjak prihoda i primitaka - preneseni </w:t>
            </w:r>
          </w:p>
        </w:tc>
        <w:tc>
          <w:tcPr>
            <w:tcW w:w="1370" w:type="dxa"/>
            <w:hideMark/>
          </w:tcPr>
          <w:p w:rsidR="00AA01A2" w:rsidRPr="00D261DD" w:rsidRDefault="00AA01A2" w:rsidP="00AA01A2">
            <w:r w:rsidRPr="00D261DD">
              <w:t>9222-9221</w:t>
            </w:r>
          </w:p>
        </w:tc>
        <w:tc>
          <w:tcPr>
            <w:tcW w:w="1673" w:type="dxa"/>
            <w:noWrap/>
            <w:hideMark/>
          </w:tcPr>
          <w:p w:rsidR="00AA01A2" w:rsidRPr="00D261DD" w:rsidRDefault="00AA01A2" w:rsidP="00AA01A2">
            <w:r w:rsidRPr="00D261DD">
              <w:t>2.594.696,00</w:t>
            </w:r>
          </w:p>
        </w:tc>
        <w:tc>
          <w:tcPr>
            <w:tcW w:w="1826" w:type="dxa"/>
            <w:noWrap/>
            <w:hideMark/>
          </w:tcPr>
          <w:p w:rsidR="00AA01A2" w:rsidRDefault="00AA01A2" w:rsidP="00AA01A2">
            <w:r w:rsidRPr="00D261DD">
              <w:t>3.8</w:t>
            </w:r>
            <w:r w:rsidR="00515B8C">
              <w:t>90</w:t>
            </w:r>
            <w:r w:rsidRPr="00D261DD">
              <w:t>.</w:t>
            </w:r>
            <w:r w:rsidR="00515B8C">
              <w:t>019</w:t>
            </w:r>
            <w:r w:rsidRPr="00D261DD">
              <w:t>,</w:t>
            </w:r>
            <w:r w:rsidR="00515B8C">
              <w:t>00</w:t>
            </w:r>
          </w:p>
        </w:tc>
        <w:tc>
          <w:tcPr>
            <w:tcW w:w="1408" w:type="dxa"/>
            <w:noWrap/>
            <w:hideMark/>
          </w:tcPr>
          <w:p w:rsidR="00AA01A2" w:rsidRPr="00D261DD" w:rsidRDefault="00AA01A2" w:rsidP="00AA01A2">
            <w:r w:rsidRPr="00AA01A2">
              <w:t>149,9</w:t>
            </w:r>
          </w:p>
        </w:tc>
      </w:tr>
      <w:tr w:rsidR="00AA01A2" w:rsidRPr="00041848" w:rsidTr="00AA01A2">
        <w:trPr>
          <w:trHeight w:val="453"/>
        </w:trPr>
        <w:tc>
          <w:tcPr>
            <w:tcW w:w="2827" w:type="dxa"/>
          </w:tcPr>
          <w:p w:rsidR="00AA01A2" w:rsidRPr="0077197A" w:rsidRDefault="00AA01A2" w:rsidP="00AA01A2">
            <w:r w:rsidRPr="00D261DD">
              <w:t>Manjak prihoda i primitaka</w:t>
            </w:r>
            <w:r>
              <w:t xml:space="preserve"> u izvještajnom razdoblju</w:t>
            </w:r>
          </w:p>
        </w:tc>
        <w:tc>
          <w:tcPr>
            <w:tcW w:w="1370" w:type="dxa"/>
            <w:hideMark/>
          </w:tcPr>
          <w:p w:rsidR="00AA01A2" w:rsidRPr="0077197A" w:rsidRDefault="00AA01A2" w:rsidP="00AA01A2">
            <w:r w:rsidRPr="0077197A">
              <w:t>Y005</w:t>
            </w:r>
          </w:p>
        </w:tc>
        <w:tc>
          <w:tcPr>
            <w:tcW w:w="1673" w:type="dxa"/>
            <w:noWrap/>
            <w:hideMark/>
          </w:tcPr>
          <w:p w:rsidR="00AA01A2" w:rsidRPr="0077197A" w:rsidRDefault="00AA01A2" w:rsidP="00AA01A2">
            <w:r w:rsidRPr="0077197A">
              <w:t>1.295.323,00</w:t>
            </w:r>
          </w:p>
        </w:tc>
        <w:tc>
          <w:tcPr>
            <w:tcW w:w="1826" w:type="dxa"/>
            <w:noWrap/>
            <w:hideMark/>
          </w:tcPr>
          <w:p w:rsidR="00AA01A2" w:rsidRPr="0077197A" w:rsidRDefault="00AA01A2" w:rsidP="00AA01A2">
            <w:r w:rsidRPr="0077197A">
              <w:t>5.894.842,98</w:t>
            </w:r>
          </w:p>
        </w:tc>
        <w:tc>
          <w:tcPr>
            <w:tcW w:w="1408" w:type="dxa"/>
            <w:noWrap/>
            <w:hideMark/>
          </w:tcPr>
          <w:p w:rsidR="00AA01A2" w:rsidRDefault="00AA01A2" w:rsidP="00AA01A2">
            <w:r w:rsidRPr="0077197A">
              <w:t>455,1</w:t>
            </w:r>
          </w:p>
        </w:tc>
      </w:tr>
      <w:tr w:rsidR="00AA01A2" w:rsidRPr="00041848" w:rsidTr="00AE0968">
        <w:trPr>
          <w:trHeight w:val="453"/>
        </w:trPr>
        <w:tc>
          <w:tcPr>
            <w:tcW w:w="2827" w:type="dxa"/>
            <w:hideMark/>
          </w:tcPr>
          <w:p w:rsidR="00AA01A2" w:rsidRPr="00864F41" w:rsidRDefault="00AA01A2" w:rsidP="00AA01A2">
            <w:r w:rsidRPr="00864F41">
              <w:t>Manjak prihoda i primitaka za pokriće u sljedećem razdoblju</w:t>
            </w:r>
          </w:p>
        </w:tc>
        <w:tc>
          <w:tcPr>
            <w:tcW w:w="1370" w:type="dxa"/>
            <w:hideMark/>
          </w:tcPr>
          <w:p w:rsidR="00AA01A2" w:rsidRPr="00864F41" w:rsidRDefault="00AA01A2" w:rsidP="00AA01A2">
            <w:r w:rsidRPr="00864F41">
              <w:t>Y006</w:t>
            </w:r>
          </w:p>
        </w:tc>
        <w:tc>
          <w:tcPr>
            <w:tcW w:w="1673" w:type="dxa"/>
            <w:noWrap/>
            <w:hideMark/>
          </w:tcPr>
          <w:p w:rsidR="00AA01A2" w:rsidRPr="00864F41" w:rsidRDefault="00AA01A2" w:rsidP="00AA01A2">
            <w:r w:rsidRPr="00864F41">
              <w:t>3.890.019,00</w:t>
            </w:r>
          </w:p>
        </w:tc>
        <w:tc>
          <w:tcPr>
            <w:tcW w:w="1826" w:type="dxa"/>
            <w:noWrap/>
            <w:hideMark/>
          </w:tcPr>
          <w:p w:rsidR="00AA01A2" w:rsidRPr="00864F41" w:rsidRDefault="00AA01A2" w:rsidP="00AA01A2">
            <w:r w:rsidRPr="00864F41">
              <w:t>9.784.61</w:t>
            </w:r>
            <w:r w:rsidR="00515B8C">
              <w:t>4</w:t>
            </w:r>
            <w:r w:rsidRPr="00864F41">
              <w:t>,52</w:t>
            </w:r>
          </w:p>
        </w:tc>
        <w:tc>
          <w:tcPr>
            <w:tcW w:w="1408" w:type="dxa"/>
            <w:noWrap/>
            <w:hideMark/>
          </w:tcPr>
          <w:p w:rsidR="00AA01A2" w:rsidRDefault="00AA01A2" w:rsidP="00AA01A2">
            <w:r w:rsidRPr="00864F41">
              <w:t>251,5</w:t>
            </w:r>
          </w:p>
        </w:tc>
      </w:tr>
    </w:tbl>
    <w:p w:rsidR="00B00A06" w:rsidRDefault="00B00A06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Kao što je prikazanu u tablici ukupan manjak prihoda i primitaka 31.12.2022.godine iznosi 9.784614,</w:t>
      </w:r>
    </w:p>
    <w:p w:rsidR="00515B8C" w:rsidRPr="00041848" w:rsidRDefault="00515B8C" w:rsidP="000418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 kn.</w:t>
      </w:r>
    </w:p>
    <w:p w:rsidR="00321903" w:rsidRDefault="00321903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Default="00515B8C" w:rsidP="00041848">
      <w:pPr>
        <w:jc w:val="both"/>
        <w:rPr>
          <w:rFonts w:ascii="Times New Roman" w:hAnsi="Times New Roman" w:cs="Times New Roman"/>
        </w:rPr>
      </w:pPr>
    </w:p>
    <w:p w:rsidR="00515B8C" w:rsidRPr="00041848" w:rsidRDefault="00515B8C" w:rsidP="00041848">
      <w:pPr>
        <w:jc w:val="both"/>
        <w:rPr>
          <w:rFonts w:ascii="Times New Roman" w:hAnsi="Times New Roman" w:cs="Times New Roman"/>
        </w:rPr>
      </w:pPr>
    </w:p>
    <w:p w:rsidR="00321903" w:rsidRPr="00041848" w:rsidRDefault="00321903" w:rsidP="0004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1848">
        <w:rPr>
          <w:rFonts w:ascii="Times New Roman" w:hAnsi="Times New Roman" w:cs="Times New Roman"/>
          <w:b/>
        </w:rPr>
        <w:t>Obrazac BIL</w:t>
      </w:r>
    </w:p>
    <w:p w:rsidR="00A921BC" w:rsidRPr="00041848" w:rsidRDefault="00A921BC" w:rsidP="00041848">
      <w:pPr>
        <w:ind w:left="360"/>
        <w:jc w:val="both"/>
        <w:rPr>
          <w:rFonts w:ascii="Times New Roman" w:hAnsi="Times New Roman" w:cs="Times New Roman"/>
          <w:b/>
        </w:rPr>
      </w:pPr>
    </w:p>
    <w:p w:rsidR="00321903" w:rsidRPr="00041848" w:rsidRDefault="00321903" w:rsidP="0004184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Aktiva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321903" w:rsidRPr="00041848" w:rsidTr="000D271B">
        <w:trPr>
          <w:trHeight w:val="452"/>
        </w:trPr>
        <w:tc>
          <w:tcPr>
            <w:tcW w:w="2827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Imovina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408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321903" w:rsidRPr="00041848" w:rsidTr="000F3F1A">
        <w:trPr>
          <w:trHeight w:val="452"/>
        </w:trPr>
        <w:tc>
          <w:tcPr>
            <w:tcW w:w="2827" w:type="dxa"/>
            <w:vAlign w:val="center"/>
            <w:hideMark/>
          </w:tcPr>
          <w:p w:rsidR="00321903" w:rsidRPr="00041848" w:rsidRDefault="00321903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Nefinancijska imovina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186.921.737,00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188.239.266,42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100,7</w:t>
            </w:r>
          </w:p>
        </w:tc>
      </w:tr>
      <w:tr w:rsidR="00321903" w:rsidRPr="00041848" w:rsidTr="00333149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Financijska imovina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11.569.708,00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13.836.421,47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119,6</w:t>
            </w:r>
          </w:p>
        </w:tc>
      </w:tr>
      <w:tr w:rsidR="00321903" w:rsidRPr="00041848" w:rsidTr="006E4A68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AA01A2">
            <w:pPr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Aktiva ukupno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3" w:type="dxa"/>
            <w:noWrap/>
            <w:vAlign w:val="center"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198.491.445,00</w:t>
            </w:r>
          </w:p>
        </w:tc>
        <w:tc>
          <w:tcPr>
            <w:tcW w:w="1826" w:type="dxa"/>
            <w:noWrap/>
            <w:vAlign w:val="center"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202.075.687,89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101,8</w:t>
            </w:r>
          </w:p>
        </w:tc>
      </w:tr>
    </w:tbl>
    <w:p w:rsidR="00515B8C" w:rsidRDefault="00515B8C" w:rsidP="00515B8C">
      <w:pPr>
        <w:rPr>
          <w:rFonts w:ascii="Times New Roman" w:hAnsi="Times New Roman" w:cs="Times New Roman"/>
        </w:rPr>
      </w:pPr>
    </w:p>
    <w:p w:rsidR="00321903" w:rsidRPr="00041848" w:rsidRDefault="00515B8C" w:rsidP="00515B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Ukupnu imovina </w:t>
      </w:r>
      <w:r w:rsidR="004F24D6">
        <w:rPr>
          <w:rFonts w:ascii="Times New Roman" w:hAnsi="Times New Roman" w:cs="Times New Roman"/>
        </w:rPr>
        <w:t xml:space="preserve">31.12.2022.godine </w:t>
      </w:r>
      <w:r>
        <w:rPr>
          <w:rFonts w:ascii="Times New Roman" w:hAnsi="Times New Roman" w:cs="Times New Roman"/>
        </w:rPr>
        <w:t>iznosi 202.075.687,89 kn od čega osnovna srestva čine 9.171845,95 kn, a financijska imovina 13.836.421,47 kn</w:t>
      </w:r>
      <w:r w:rsidR="004F24D6">
        <w:rPr>
          <w:rFonts w:ascii="Times New Roman" w:hAnsi="Times New Roman" w:cs="Times New Roman"/>
        </w:rPr>
        <w:t>.</w:t>
      </w:r>
    </w:p>
    <w:p w:rsidR="00321903" w:rsidRPr="00041848" w:rsidRDefault="00321903" w:rsidP="00515B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Pasiva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321903" w:rsidRPr="00041848" w:rsidTr="000D271B">
        <w:trPr>
          <w:trHeight w:val="452"/>
        </w:trPr>
        <w:tc>
          <w:tcPr>
            <w:tcW w:w="2827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Obveze i izvori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408" w:type="dxa"/>
            <w:noWrap/>
            <w:hideMark/>
          </w:tcPr>
          <w:p w:rsidR="00321903" w:rsidRPr="00041848" w:rsidRDefault="00321903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321903" w:rsidRPr="00041848" w:rsidTr="000D271B">
        <w:trPr>
          <w:trHeight w:val="452"/>
        </w:trPr>
        <w:tc>
          <w:tcPr>
            <w:tcW w:w="2827" w:type="dxa"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Obveze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4.989.020,00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12.475.909,51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250,1</w:t>
            </w:r>
          </w:p>
        </w:tc>
      </w:tr>
      <w:tr w:rsidR="00321903" w:rsidRPr="00041848" w:rsidTr="000D271B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Vlastiti izvori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3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193.502.425,00</w:t>
            </w:r>
          </w:p>
        </w:tc>
        <w:tc>
          <w:tcPr>
            <w:tcW w:w="1826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189.599.778,38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98,0</w:t>
            </w:r>
          </w:p>
        </w:tc>
      </w:tr>
      <w:tr w:rsidR="00321903" w:rsidRPr="00041848" w:rsidTr="000D271B">
        <w:trPr>
          <w:trHeight w:val="453"/>
        </w:trPr>
        <w:tc>
          <w:tcPr>
            <w:tcW w:w="2827" w:type="dxa"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Pasiva ukupno</w:t>
            </w:r>
          </w:p>
        </w:tc>
        <w:tc>
          <w:tcPr>
            <w:tcW w:w="1370" w:type="dxa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3" w:type="dxa"/>
            <w:noWrap/>
            <w:vAlign w:val="center"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198.491.445,00</w:t>
            </w:r>
          </w:p>
        </w:tc>
        <w:tc>
          <w:tcPr>
            <w:tcW w:w="1826" w:type="dxa"/>
            <w:noWrap/>
            <w:vAlign w:val="center"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202.075.687,89</w:t>
            </w:r>
          </w:p>
        </w:tc>
        <w:tc>
          <w:tcPr>
            <w:tcW w:w="1408" w:type="dxa"/>
            <w:noWrap/>
            <w:vAlign w:val="center"/>
            <w:hideMark/>
          </w:tcPr>
          <w:p w:rsidR="00321903" w:rsidRPr="00041848" w:rsidRDefault="00321903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101,8</w:t>
            </w:r>
          </w:p>
        </w:tc>
      </w:tr>
    </w:tbl>
    <w:p w:rsidR="00321903" w:rsidRDefault="00321903" w:rsidP="00041848">
      <w:pPr>
        <w:jc w:val="center"/>
        <w:rPr>
          <w:rFonts w:ascii="Times New Roman" w:hAnsi="Times New Roman" w:cs="Times New Roman"/>
        </w:rPr>
      </w:pPr>
    </w:p>
    <w:p w:rsidR="004F24D6" w:rsidRDefault="004F24D6" w:rsidP="004F24D6">
      <w:pPr>
        <w:rPr>
          <w:rFonts w:ascii="Times New Roman" w:hAnsi="Times New Roman" w:cs="Times New Roman"/>
        </w:rPr>
      </w:pPr>
    </w:p>
    <w:p w:rsidR="004F24D6" w:rsidRDefault="004F24D6" w:rsidP="004F2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Ukupne obveze na 31.12.2022.godine iznose202.075.687,89 kn, a vlastiti izvori 189.599.778,38 kn.</w:t>
      </w:r>
    </w:p>
    <w:p w:rsidR="004F24D6" w:rsidRPr="00041848" w:rsidRDefault="004F24D6" w:rsidP="004F24D6">
      <w:pPr>
        <w:rPr>
          <w:rFonts w:ascii="Times New Roman" w:hAnsi="Times New Roman" w:cs="Times New Roman"/>
        </w:rPr>
      </w:pPr>
    </w:p>
    <w:p w:rsidR="00321903" w:rsidRPr="00041848" w:rsidRDefault="001C14DD" w:rsidP="004F24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Izvanbilančni zapisi</w:t>
      </w:r>
    </w:p>
    <w:tbl>
      <w:tblPr>
        <w:tblStyle w:val="TableGrid"/>
        <w:tblW w:w="9104" w:type="dxa"/>
        <w:tblLook w:val="04A0" w:firstRow="1" w:lastRow="0" w:firstColumn="1" w:lastColumn="0" w:noHBand="0" w:noVBand="1"/>
      </w:tblPr>
      <w:tblGrid>
        <w:gridCol w:w="2827"/>
        <w:gridCol w:w="1370"/>
        <w:gridCol w:w="1673"/>
        <w:gridCol w:w="1826"/>
        <w:gridCol w:w="1408"/>
      </w:tblGrid>
      <w:tr w:rsidR="001C14DD" w:rsidRPr="00041848" w:rsidTr="000D271B">
        <w:trPr>
          <w:trHeight w:val="452"/>
        </w:trPr>
        <w:tc>
          <w:tcPr>
            <w:tcW w:w="2827" w:type="dxa"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Obveze i izvori</w:t>
            </w:r>
          </w:p>
        </w:tc>
        <w:tc>
          <w:tcPr>
            <w:tcW w:w="1370" w:type="dxa"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KONTO</w:t>
            </w:r>
          </w:p>
        </w:tc>
        <w:tc>
          <w:tcPr>
            <w:tcW w:w="1673" w:type="dxa"/>
            <w:noWrap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2021.</w:t>
            </w:r>
          </w:p>
        </w:tc>
        <w:tc>
          <w:tcPr>
            <w:tcW w:w="1826" w:type="dxa"/>
            <w:noWrap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1408" w:type="dxa"/>
            <w:noWrap/>
            <w:hideMark/>
          </w:tcPr>
          <w:p w:rsidR="001C14DD" w:rsidRPr="00041848" w:rsidRDefault="001C14DD" w:rsidP="00041848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INDEX</w:t>
            </w:r>
          </w:p>
        </w:tc>
      </w:tr>
      <w:tr w:rsidR="001C14DD" w:rsidRPr="00041848" w:rsidTr="000D271B">
        <w:trPr>
          <w:trHeight w:val="452"/>
        </w:trPr>
        <w:tc>
          <w:tcPr>
            <w:tcW w:w="2827" w:type="dxa"/>
            <w:vAlign w:val="center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Izvanbilančni zapisi aktiva</w:t>
            </w:r>
          </w:p>
        </w:tc>
        <w:tc>
          <w:tcPr>
            <w:tcW w:w="1370" w:type="dxa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3" w:type="dxa"/>
            <w:noWrap/>
            <w:vAlign w:val="center"/>
            <w:hideMark/>
          </w:tcPr>
          <w:p w:rsidR="00915451" w:rsidRPr="00041848" w:rsidRDefault="00915451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45.126.404</w:t>
            </w: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:rsidR="001C14DD" w:rsidRPr="00041848" w:rsidRDefault="00915451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20.496.031,56</w:t>
            </w:r>
          </w:p>
        </w:tc>
        <w:tc>
          <w:tcPr>
            <w:tcW w:w="1408" w:type="dxa"/>
            <w:noWrap/>
            <w:vAlign w:val="center"/>
            <w:hideMark/>
          </w:tcPr>
          <w:p w:rsidR="001C14DD" w:rsidRPr="00041848" w:rsidRDefault="00915451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0,45</w:t>
            </w:r>
          </w:p>
        </w:tc>
      </w:tr>
      <w:tr w:rsidR="001C14DD" w:rsidRPr="00041848" w:rsidTr="000D271B">
        <w:trPr>
          <w:trHeight w:val="453"/>
        </w:trPr>
        <w:tc>
          <w:tcPr>
            <w:tcW w:w="2827" w:type="dxa"/>
            <w:vAlign w:val="center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Izvanbilančni zapisi pasiva</w:t>
            </w:r>
          </w:p>
        </w:tc>
        <w:tc>
          <w:tcPr>
            <w:tcW w:w="1370" w:type="dxa"/>
            <w:hideMark/>
          </w:tcPr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3" w:type="dxa"/>
            <w:noWrap/>
            <w:vAlign w:val="center"/>
            <w:hideMark/>
          </w:tcPr>
          <w:p w:rsidR="00915451" w:rsidRPr="00041848" w:rsidRDefault="00915451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45.126.404</w:t>
            </w:r>
          </w:p>
          <w:p w:rsidR="001C14DD" w:rsidRPr="00041848" w:rsidRDefault="001C14DD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26" w:type="dxa"/>
            <w:noWrap/>
            <w:vAlign w:val="center"/>
            <w:hideMark/>
          </w:tcPr>
          <w:p w:rsidR="001C14DD" w:rsidRPr="00041848" w:rsidRDefault="00915451" w:rsidP="00041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20.496.031,56</w:t>
            </w:r>
          </w:p>
        </w:tc>
        <w:tc>
          <w:tcPr>
            <w:tcW w:w="1408" w:type="dxa"/>
            <w:noWrap/>
            <w:vAlign w:val="center"/>
            <w:hideMark/>
          </w:tcPr>
          <w:p w:rsidR="001C14DD" w:rsidRPr="00041848" w:rsidRDefault="00915451" w:rsidP="00041848">
            <w:pPr>
              <w:jc w:val="center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0,45</w:t>
            </w:r>
          </w:p>
          <w:p w:rsidR="00915451" w:rsidRPr="00041848" w:rsidRDefault="00915451" w:rsidP="000418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14DD" w:rsidRPr="00041848" w:rsidRDefault="001C14DD" w:rsidP="00041848">
      <w:pPr>
        <w:jc w:val="center"/>
        <w:rPr>
          <w:rFonts w:ascii="Times New Roman" w:hAnsi="Times New Roman" w:cs="Times New Roman"/>
        </w:rPr>
      </w:pPr>
    </w:p>
    <w:p w:rsidR="00915451" w:rsidRPr="00041848" w:rsidRDefault="00915451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Na poziciji izvanbilančne evidencije konto 991 evidentirani su sudski sporovi u tijeku, koji se vode s izvođačem radova oko potraživanja vezanih za izgradnju i nadzor na novoj zgradi Muzičke  akademije.</w:t>
      </w:r>
    </w:p>
    <w:p w:rsidR="00915451" w:rsidRPr="00041848" w:rsidRDefault="00A921BC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Nakon pravomoćne presude </w:t>
      </w:r>
      <w:r w:rsidR="00915451" w:rsidRPr="00041848">
        <w:rPr>
          <w:rFonts w:ascii="Times New Roman" w:hAnsi="Times New Roman" w:cs="Times New Roman"/>
        </w:rPr>
        <w:t xml:space="preserve">troškova po sudskoj presudi Visokog trgovačkog suda Zagrebu poslovni broj: 9 Pž-4238/2021-4  </w:t>
      </w:r>
      <w:r w:rsidRPr="00041848">
        <w:rPr>
          <w:rFonts w:ascii="Times New Roman" w:hAnsi="Times New Roman" w:cs="Times New Roman"/>
        </w:rPr>
        <w:t xml:space="preserve">u </w:t>
      </w:r>
      <w:r w:rsidR="00915451" w:rsidRPr="00041848">
        <w:rPr>
          <w:rFonts w:ascii="Times New Roman" w:hAnsi="Times New Roman" w:cs="Times New Roman"/>
        </w:rPr>
        <w:t>iznos od</w:t>
      </w:r>
      <w:r w:rsidRPr="00041848">
        <w:rPr>
          <w:rFonts w:ascii="Times New Roman" w:hAnsi="Times New Roman" w:cs="Times New Roman"/>
        </w:rPr>
        <w:t xml:space="preserve"> isknjižen je iznos 24.682.294,05 kn</w:t>
      </w:r>
      <w:r w:rsidR="007D3053">
        <w:rPr>
          <w:rFonts w:ascii="Times New Roman" w:hAnsi="Times New Roman" w:cs="Times New Roman"/>
        </w:rPr>
        <w:t xml:space="preserve">, </w:t>
      </w:r>
      <w:r w:rsidRPr="00041848">
        <w:rPr>
          <w:rFonts w:ascii="Times New Roman" w:hAnsi="Times New Roman" w:cs="Times New Roman"/>
        </w:rPr>
        <w:t xml:space="preserve"> a iznos od  4.</w:t>
      </w:r>
      <w:r w:rsidR="007D3053">
        <w:rPr>
          <w:rFonts w:ascii="Times New Roman" w:hAnsi="Times New Roman" w:cs="Times New Roman"/>
        </w:rPr>
        <w:t>00.</w:t>
      </w:r>
      <w:bookmarkStart w:id="0" w:name="_GoBack"/>
      <w:bookmarkEnd w:id="0"/>
      <w:r w:rsidR="007D3053">
        <w:rPr>
          <w:rFonts w:ascii="Times New Roman" w:hAnsi="Times New Roman" w:cs="Times New Roman"/>
        </w:rPr>
        <w:t>8413,9</w:t>
      </w:r>
      <w:r w:rsidRPr="00041848">
        <w:rPr>
          <w:rFonts w:ascii="Times New Roman" w:hAnsi="Times New Roman" w:cs="Times New Roman"/>
        </w:rPr>
        <w:t xml:space="preserve"> kn knjižen je kao trošak i obveza koju Muzička  akademija ima prema izvođaču radova Nexe.</w:t>
      </w:r>
    </w:p>
    <w:p w:rsidR="00A921BC" w:rsidRDefault="00A921BC" w:rsidP="00041848">
      <w:pPr>
        <w:jc w:val="both"/>
        <w:rPr>
          <w:rFonts w:ascii="Times New Roman" w:hAnsi="Times New Roman" w:cs="Times New Roman"/>
        </w:rPr>
      </w:pPr>
    </w:p>
    <w:p w:rsidR="004F24D6" w:rsidRDefault="004F24D6" w:rsidP="00041848">
      <w:pPr>
        <w:jc w:val="both"/>
        <w:rPr>
          <w:rFonts w:ascii="Times New Roman" w:hAnsi="Times New Roman" w:cs="Times New Roman"/>
        </w:rPr>
      </w:pPr>
    </w:p>
    <w:p w:rsidR="004F24D6" w:rsidRPr="00041848" w:rsidRDefault="004F24D6" w:rsidP="00041848">
      <w:pPr>
        <w:jc w:val="both"/>
        <w:rPr>
          <w:rFonts w:ascii="Times New Roman" w:hAnsi="Times New Roman" w:cs="Times New Roman"/>
        </w:rPr>
      </w:pPr>
    </w:p>
    <w:p w:rsidR="00A921BC" w:rsidRPr="00041848" w:rsidRDefault="00A921BC" w:rsidP="0004184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41848">
        <w:rPr>
          <w:rFonts w:ascii="Times New Roman" w:hAnsi="Times New Roman" w:cs="Times New Roman"/>
          <w:b/>
        </w:rPr>
        <w:t>Obrazac Obveze</w:t>
      </w:r>
    </w:p>
    <w:p w:rsidR="00561BB5" w:rsidRPr="00041848" w:rsidRDefault="00561BB5" w:rsidP="00041848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60"/>
        <w:gridCol w:w="5807"/>
      </w:tblGrid>
      <w:tr w:rsidR="00561BB5" w:rsidRPr="00041848" w:rsidTr="00561BB5">
        <w:trPr>
          <w:trHeight w:val="452"/>
        </w:trPr>
        <w:tc>
          <w:tcPr>
            <w:tcW w:w="3260" w:type="dxa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41848">
              <w:rPr>
                <w:rFonts w:ascii="Times New Roman" w:hAnsi="Times New Roman" w:cs="Times New Roman"/>
                <w:bCs/>
                <w:color w:val="000000"/>
              </w:rPr>
              <w:t>Opis stavke</w:t>
            </w:r>
          </w:p>
          <w:p w:rsidR="00561BB5" w:rsidRPr="00041848" w:rsidRDefault="00561BB5" w:rsidP="00041848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noWrap/>
            <w:hideMark/>
          </w:tcPr>
          <w:p w:rsidR="00561BB5" w:rsidRPr="00041848" w:rsidRDefault="00561BB5" w:rsidP="004F24D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61BB5" w:rsidRPr="00041848" w:rsidRDefault="00561BB5" w:rsidP="004F24D6">
            <w:pPr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041848">
              <w:rPr>
                <w:rFonts w:ascii="Times New Roman" w:hAnsi="Times New Roman" w:cs="Times New Roman"/>
                <w:bCs/>
                <w:color w:val="000000"/>
              </w:rPr>
              <w:t>Iznos</w:t>
            </w:r>
          </w:p>
          <w:p w:rsidR="00561BB5" w:rsidRPr="00041848" w:rsidRDefault="00561BB5" w:rsidP="004F24D6">
            <w:pPr>
              <w:ind w:left="360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561BB5" w:rsidRPr="00041848" w:rsidTr="00561BB5">
        <w:trPr>
          <w:trHeight w:val="452"/>
        </w:trPr>
        <w:tc>
          <w:tcPr>
            <w:tcW w:w="3260" w:type="dxa"/>
            <w:vAlign w:val="center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 xml:space="preserve">Stanje obveza 1. siječnja </w:t>
            </w:r>
          </w:p>
        </w:tc>
        <w:tc>
          <w:tcPr>
            <w:tcW w:w="5807" w:type="dxa"/>
            <w:noWrap/>
            <w:vAlign w:val="center"/>
            <w:hideMark/>
          </w:tcPr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</w:rPr>
            </w:pPr>
            <w:r w:rsidRPr="00041848">
              <w:rPr>
                <w:rFonts w:ascii="Times New Roman" w:hAnsi="Times New Roman" w:cs="Times New Roman"/>
              </w:rPr>
              <w:t>4.989.019,87</w:t>
            </w:r>
          </w:p>
        </w:tc>
      </w:tr>
      <w:tr w:rsidR="00561BB5" w:rsidRPr="00041848" w:rsidTr="00561BB5">
        <w:trPr>
          <w:trHeight w:val="453"/>
        </w:trPr>
        <w:tc>
          <w:tcPr>
            <w:tcW w:w="3260" w:type="dxa"/>
            <w:vAlign w:val="center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</w:rPr>
            </w:pP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Povećanje obveza u izvještajnom razdoblju</w:t>
            </w: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noWrap/>
            <w:vAlign w:val="center"/>
            <w:hideMark/>
          </w:tcPr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61.749.332,24</w:t>
            </w:r>
          </w:p>
        </w:tc>
      </w:tr>
      <w:tr w:rsidR="00561BB5" w:rsidRPr="00041848" w:rsidTr="00561BB5">
        <w:trPr>
          <w:trHeight w:val="453"/>
        </w:trPr>
        <w:tc>
          <w:tcPr>
            <w:tcW w:w="3260" w:type="dxa"/>
            <w:vAlign w:val="center"/>
            <w:hideMark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 xml:space="preserve">Podmirene obveze u izvještajnom razdoblju </w:t>
            </w:r>
          </w:p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7" w:type="dxa"/>
            <w:noWrap/>
            <w:vAlign w:val="center"/>
          </w:tcPr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54.262.442,60</w:t>
            </w:r>
          </w:p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</w:p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561BB5" w:rsidRPr="00041848" w:rsidTr="00561BB5">
        <w:trPr>
          <w:trHeight w:val="453"/>
        </w:trPr>
        <w:tc>
          <w:tcPr>
            <w:tcW w:w="3260" w:type="dxa"/>
            <w:vAlign w:val="center"/>
          </w:tcPr>
          <w:p w:rsidR="00561BB5" w:rsidRPr="00041848" w:rsidRDefault="00561BB5" w:rsidP="0004184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 xml:space="preserve">Stanje obveza na kraju izvještajnog razdoblja </w:t>
            </w:r>
          </w:p>
        </w:tc>
        <w:tc>
          <w:tcPr>
            <w:tcW w:w="5807" w:type="dxa"/>
            <w:noWrap/>
            <w:vAlign w:val="center"/>
          </w:tcPr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041848">
              <w:rPr>
                <w:rFonts w:ascii="Times New Roman" w:hAnsi="Times New Roman" w:cs="Times New Roman"/>
                <w:bCs/>
              </w:rPr>
              <w:t>12.475.909,51</w:t>
            </w:r>
          </w:p>
          <w:p w:rsidR="00561BB5" w:rsidRPr="00041848" w:rsidRDefault="00561BB5" w:rsidP="00041848">
            <w:pPr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A921BC" w:rsidRPr="00041848" w:rsidRDefault="00A921BC" w:rsidP="00041848">
      <w:pPr>
        <w:jc w:val="both"/>
        <w:rPr>
          <w:rFonts w:ascii="Times New Roman" w:hAnsi="Times New Roman" w:cs="Times New Roman"/>
          <w:b/>
        </w:rPr>
      </w:pPr>
    </w:p>
    <w:p w:rsidR="00561BB5" w:rsidRPr="00041848" w:rsidRDefault="00902EFC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 xml:space="preserve">Iz gornje tablice je vidljivo </w:t>
      </w:r>
      <w:r w:rsidR="00041848" w:rsidRPr="00041848">
        <w:rPr>
          <w:rFonts w:ascii="Times New Roman" w:hAnsi="Times New Roman" w:cs="Times New Roman"/>
        </w:rPr>
        <w:t xml:space="preserve">značajno </w:t>
      </w:r>
      <w:r w:rsidRPr="00041848">
        <w:rPr>
          <w:rFonts w:ascii="Times New Roman" w:hAnsi="Times New Roman" w:cs="Times New Roman"/>
        </w:rPr>
        <w:t xml:space="preserve">povećanje obveze u odnosu na počeno stanje 1. siječnja 2022.godine. </w:t>
      </w:r>
      <w:r w:rsidR="00561BB5" w:rsidRPr="00041848">
        <w:rPr>
          <w:rFonts w:ascii="Times New Roman" w:hAnsi="Times New Roman" w:cs="Times New Roman"/>
        </w:rPr>
        <w:t>Od stavki koje su utjecale na povećanje obveza je iznos od 2.070.235,4</w:t>
      </w:r>
      <w:r w:rsidRPr="00041848">
        <w:rPr>
          <w:rFonts w:ascii="Times New Roman" w:hAnsi="Times New Roman" w:cs="Times New Roman"/>
        </w:rPr>
        <w:t xml:space="preserve">3 kn  koji se odnosi </w:t>
      </w:r>
      <w:r w:rsidR="00041848" w:rsidRPr="00041848">
        <w:rPr>
          <w:rFonts w:ascii="Times New Roman" w:hAnsi="Times New Roman" w:cs="Times New Roman"/>
        </w:rPr>
        <w:t xml:space="preserve">na </w:t>
      </w:r>
      <w:r w:rsidRPr="00041848">
        <w:rPr>
          <w:rFonts w:ascii="Times New Roman" w:hAnsi="Times New Roman" w:cs="Times New Roman"/>
        </w:rPr>
        <w:t>zaduženje plać</w:t>
      </w:r>
      <w:r w:rsidR="00041848" w:rsidRPr="00041848">
        <w:rPr>
          <w:rFonts w:ascii="Times New Roman" w:hAnsi="Times New Roman" w:cs="Times New Roman"/>
        </w:rPr>
        <w:t>e</w:t>
      </w:r>
      <w:r w:rsidRPr="00041848">
        <w:rPr>
          <w:rFonts w:ascii="Times New Roman" w:hAnsi="Times New Roman" w:cs="Times New Roman"/>
        </w:rPr>
        <w:t xml:space="preserve"> iz prosinca 2022</w:t>
      </w:r>
      <w:r w:rsidR="00041848" w:rsidRPr="00041848">
        <w:rPr>
          <w:rFonts w:ascii="Times New Roman" w:hAnsi="Times New Roman" w:cs="Times New Roman"/>
        </w:rPr>
        <w:t xml:space="preserve">.godine </w:t>
      </w:r>
      <w:r w:rsidRPr="00041848">
        <w:rPr>
          <w:rFonts w:ascii="Times New Roman" w:hAnsi="Times New Roman" w:cs="Times New Roman"/>
        </w:rPr>
        <w:t xml:space="preserve"> koju ćemo na stavku troška prebaciti u siječnju 202</w:t>
      </w:r>
      <w:r w:rsidR="00041848" w:rsidRPr="00041848">
        <w:rPr>
          <w:rFonts w:ascii="Times New Roman" w:hAnsi="Times New Roman" w:cs="Times New Roman"/>
        </w:rPr>
        <w:t>3</w:t>
      </w:r>
      <w:r w:rsidRPr="00041848">
        <w:rPr>
          <w:rFonts w:ascii="Times New Roman" w:hAnsi="Times New Roman" w:cs="Times New Roman"/>
        </w:rPr>
        <w:t>. godine kad će biti isplaćena. Na</w:t>
      </w:r>
      <w:r w:rsidR="00041848" w:rsidRPr="00041848">
        <w:rPr>
          <w:rFonts w:ascii="Times New Roman" w:hAnsi="Times New Roman" w:cs="Times New Roman"/>
        </w:rPr>
        <w:t xml:space="preserve"> </w:t>
      </w:r>
      <w:r w:rsidRPr="00041848">
        <w:rPr>
          <w:rFonts w:ascii="Times New Roman" w:hAnsi="Times New Roman" w:cs="Times New Roman"/>
        </w:rPr>
        <w:t xml:space="preserve">ovaj način </w:t>
      </w:r>
      <w:r w:rsidR="00041848" w:rsidRPr="00041848">
        <w:rPr>
          <w:rFonts w:ascii="Times New Roman" w:hAnsi="Times New Roman" w:cs="Times New Roman"/>
        </w:rPr>
        <w:t xml:space="preserve">će </w:t>
      </w:r>
      <w:r w:rsidRPr="00041848">
        <w:rPr>
          <w:rFonts w:ascii="Times New Roman" w:hAnsi="Times New Roman" w:cs="Times New Roman"/>
        </w:rPr>
        <w:t xml:space="preserve">obveze </w:t>
      </w:r>
      <w:r w:rsidR="004F24D6">
        <w:rPr>
          <w:rFonts w:ascii="Times New Roman" w:hAnsi="Times New Roman" w:cs="Times New Roman"/>
        </w:rPr>
        <w:t xml:space="preserve">plaće </w:t>
      </w:r>
      <w:r w:rsidR="00041848" w:rsidRPr="00041848">
        <w:rPr>
          <w:rFonts w:ascii="Times New Roman" w:hAnsi="Times New Roman" w:cs="Times New Roman"/>
        </w:rPr>
        <w:t xml:space="preserve">biti </w:t>
      </w:r>
      <w:r w:rsidRPr="00041848">
        <w:rPr>
          <w:rFonts w:ascii="Times New Roman" w:hAnsi="Times New Roman" w:cs="Times New Roman"/>
        </w:rPr>
        <w:t xml:space="preserve"> iskazivane u periodu kad </w:t>
      </w:r>
      <w:r w:rsidR="00041848" w:rsidRPr="00041848">
        <w:rPr>
          <w:rFonts w:ascii="Times New Roman" w:hAnsi="Times New Roman" w:cs="Times New Roman"/>
        </w:rPr>
        <w:t>su i</w:t>
      </w:r>
      <w:r w:rsidRPr="00041848">
        <w:rPr>
          <w:rFonts w:ascii="Times New Roman" w:hAnsi="Times New Roman" w:cs="Times New Roman"/>
        </w:rPr>
        <w:t xml:space="preserve"> nastal</w:t>
      </w:r>
      <w:r w:rsidR="00041848" w:rsidRPr="00041848">
        <w:rPr>
          <w:rFonts w:ascii="Times New Roman" w:hAnsi="Times New Roman" w:cs="Times New Roman"/>
        </w:rPr>
        <w:t>e</w:t>
      </w:r>
      <w:r w:rsidRPr="00041848">
        <w:rPr>
          <w:rFonts w:ascii="Times New Roman" w:hAnsi="Times New Roman" w:cs="Times New Roman"/>
        </w:rPr>
        <w:t>. Takođe</w:t>
      </w:r>
      <w:r w:rsidR="00041848" w:rsidRPr="00041848">
        <w:rPr>
          <w:rFonts w:ascii="Times New Roman" w:hAnsi="Times New Roman" w:cs="Times New Roman"/>
        </w:rPr>
        <w:t>r,</w:t>
      </w:r>
      <w:r w:rsidRPr="00041848">
        <w:rPr>
          <w:rFonts w:ascii="Times New Roman" w:hAnsi="Times New Roman" w:cs="Times New Roman"/>
        </w:rPr>
        <w:t xml:space="preserve"> na povećanje obveza znatno je utjecao  i izvanredni trošak po sudskoj presudi u iznosu od  4.</w:t>
      </w:r>
      <w:r w:rsidR="00041848" w:rsidRPr="00041848">
        <w:rPr>
          <w:rFonts w:ascii="Times New Roman" w:hAnsi="Times New Roman" w:cs="Times New Roman"/>
        </w:rPr>
        <w:t>008.413,90</w:t>
      </w:r>
      <w:r w:rsidRPr="00041848">
        <w:rPr>
          <w:rFonts w:ascii="Times New Roman" w:hAnsi="Times New Roman" w:cs="Times New Roman"/>
        </w:rPr>
        <w:t xml:space="preserve"> kn iz spora s izvođačem Nexe gradn</w:t>
      </w:r>
      <w:r w:rsidR="00041848" w:rsidRPr="00041848">
        <w:rPr>
          <w:rFonts w:ascii="Times New Roman" w:hAnsi="Times New Roman" w:cs="Times New Roman"/>
        </w:rPr>
        <w:t>ja d.o.o.</w:t>
      </w:r>
      <w:r w:rsidRPr="00041848">
        <w:rPr>
          <w:rFonts w:ascii="Times New Roman" w:hAnsi="Times New Roman" w:cs="Times New Roman"/>
        </w:rPr>
        <w:t>.</w:t>
      </w:r>
    </w:p>
    <w:p w:rsidR="00041848" w:rsidRDefault="00041848" w:rsidP="00041848">
      <w:pPr>
        <w:jc w:val="both"/>
        <w:rPr>
          <w:rFonts w:ascii="Times New Roman" w:hAnsi="Times New Roman" w:cs="Times New Roman"/>
        </w:rPr>
      </w:pPr>
      <w:r w:rsidRPr="00041848">
        <w:rPr>
          <w:rFonts w:ascii="Times New Roman" w:hAnsi="Times New Roman" w:cs="Times New Roman"/>
        </w:rPr>
        <w:t>Na dan izvještaja 31.12.2022.godine dospjele a neizmirene obveze za vanjsku suradnju su iznosile</w:t>
      </w:r>
      <w:r w:rsidR="0088203A">
        <w:rPr>
          <w:rFonts w:ascii="Times New Roman" w:hAnsi="Times New Roman" w:cs="Times New Roman"/>
        </w:rPr>
        <w:t xml:space="preserve"> 2.</w:t>
      </w:r>
      <w:r w:rsidR="00557D6D">
        <w:rPr>
          <w:rFonts w:ascii="Times New Roman" w:hAnsi="Times New Roman" w:cs="Times New Roman"/>
        </w:rPr>
        <w:t>840.073,21</w:t>
      </w:r>
      <w:r w:rsidR="0088203A">
        <w:rPr>
          <w:rFonts w:ascii="Times New Roman" w:hAnsi="Times New Roman" w:cs="Times New Roman"/>
        </w:rPr>
        <w:t xml:space="preserve"> kn </w:t>
      </w:r>
      <w:r w:rsidR="00557D6D">
        <w:rPr>
          <w:rFonts w:ascii="Times New Roman" w:hAnsi="Times New Roman" w:cs="Times New Roman"/>
        </w:rPr>
        <w:t xml:space="preserve">. Od ovog iznosa na dug za ak.godinu 2019/20.god iznosi 409.898,24 kn, dug za ak.202/21 iznosi 506.663,68, dug za 2021/22 iznosi 714.643,08 kn </w:t>
      </w:r>
      <w:r w:rsidR="004F24D6">
        <w:rPr>
          <w:rFonts w:ascii="Times New Roman" w:hAnsi="Times New Roman" w:cs="Times New Roman"/>
        </w:rPr>
        <w:t xml:space="preserve">. Nedospjela obveza vanjske suradnje </w:t>
      </w:r>
      <w:r w:rsidR="00557D6D">
        <w:rPr>
          <w:rFonts w:ascii="Times New Roman" w:hAnsi="Times New Roman" w:cs="Times New Roman"/>
        </w:rPr>
        <w:t>za tekući semestar iznosi 1.197.773,10 kn.</w:t>
      </w: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557D6D" w:rsidRDefault="00557D6D" w:rsidP="00041848">
      <w:pPr>
        <w:jc w:val="both"/>
        <w:rPr>
          <w:rFonts w:ascii="Times New Roman" w:hAnsi="Times New Roman" w:cs="Times New Roman"/>
        </w:rPr>
      </w:pPr>
    </w:p>
    <w:p w:rsidR="004F24D6" w:rsidRDefault="004F24D6" w:rsidP="00041848">
      <w:pPr>
        <w:jc w:val="both"/>
        <w:rPr>
          <w:rFonts w:ascii="Times New Roman" w:hAnsi="Times New Roman" w:cs="Times New Roman"/>
        </w:rPr>
      </w:pPr>
    </w:p>
    <w:p w:rsidR="00557D6D" w:rsidRPr="00375805" w:rsidRDefault="00557D6D" w:rsidP="00557D6D">
      <w:pPr>
        <w:rPr>
          <w:sz w:val="24"/>
          <w:szCs w:val="24"/>
        </w:rPr>
      </w:pPr>
      <w:r w:rsidRPr="00375805">
        <w:rPr>
          <w:sz w:val="24"/>
          <w:szCs w:val="24"/>
        </w:rPr>
        <w:t xml:space="preserve">                                                                                                                     Dekan:</w:t>
      </w:r>
    </w:p>
    <w:p w:rsidR="00557D6D" w:rsidRPr="00375805" w:rsidRDefault="00557D6D" w:rsidP="00557D6D">
      <w:pPr>
        <w:rPr>
          <w:sz w:val="24"/>
          <w:szCs w:val="24"/>
        </w:rPr>
      </w:pPr>
    </w:p>
    <w:p w:rsidR="00557D6D" w:rsidRPr="00375805" w:rsidRDefault="00557D6D" w:rsidP="00557D6D">
      <w:pPr>
        <w:rPr>
          <w:sz w:val="24"/>
          <w:szCs w:val="24"/>
        </w:rPr>
      </w:pPr>
      <w:r w:rsidRPr="00375805">
        <w:rPr>
          <w:sz w:val="24"/>
          <w:szCs w:val="24"/>
        </w:rPr>
        <w:t xml:space="preserve">                                                                                                          Red prof art Igor Lešnik</w:t>
      </w:r>
    </w:p>
    <w:p w:rsidR="00557D6D" w:rsidRPr="00041848" w:rsidRDefault="00557D6D" w:rsidP="00041848">
      <w:pPr>
        <w:jc w:val="both"/>
        <w:rPr>
          <w:rFonts w:ascii="Times New Roman" w:hAnsi="Times New Roman" w:cs="Times New Roman"/>
        </w:rPr>
      </w:pPr>
    </w:p>
    <w:p w:rsidR="00A921BC" w:rsidRPr="00041848" w:rsidRDefault="00A921BC" w:rsidP="00041848">
      <w:pPr>
        <w:pStyle w:val="ListParagraph"/>
        <w:jc w:val="both"/>
        <w:rPr>
          <w:rFonts w:ascii="Times New Roman" w:hAnsi="Times New Roman" w:cs="Times New Roman"/>
        </w:rPr>
      </w:pPr>
    </w:p>
    <w:p w:rsidR="00915451" w:rsidRPr="00041848" w:rsidRDefault="00915451" w:rsidP="00041848">
      <w:pPr>
        <w:jc w:val="both"/>
        <w:rPr>
          <w:rFonts w:ascii="Times New Roman" w:hAnsi="Times New Roman" w:cs="Times New Roman"/>
        </w:rPr>
      </w:pPr>
    </w:p>
    <w:sectPr w:rsidR="00915451" w:rsidRPr="00041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212E3"/>
    <w:multiLevelType w:val="hybridMultilevel"/>
    <w:tmpl w:val="A5BCB45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4845BA"/>
    <w:multiLevelType w:val="hybridMultilevel"/>
    <w:tmpl w:val="E2FEA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173D3"/>
    <w:multiLevelType w:val="hybridMultilevel"/>
    <w:tmpl w:val="E2FEA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0F"/>
    <w:rsid w:val="00041848"/>
    <w:rsid w:val="001014C9"/>
    <w:rsid w:val="001863F1"/>
    <w:rsid w:val="001C14DD"/>
    <w:rsid w:val="00265732"/>
    <w:rsid w:val="00321903"/>
    <w:rsid w:val="004F24D6"/>
    <w:rsid w:val="00515B8C"/>
    <w:rsid w:val="005262D0"/>
    <w:rsid w:val="00557D6D"/>
    <w:rsid w:val="00561BB5"/>
    <w:rsid w:val="006B6E48"/>
    <w:rsid w:val="007D3053"/>
    <w:rsid w:val="0088203A"/>
    <w:rsid w:val="00890D84"/>
    <w:rsid w:val="00902EFC"/>
    <w:rsid w:val="00915451"/>
    <w:rsid w:val="00A85EAA"/>
    <w:rsid w:val="00A921BC"/>
    <w:rsid w:val="00AA01A2"/>
    <w:rsid w:val="00B00A06"/>
    <w:rsid w:val="00B914C1"/>
    <w:rsid w:val="00BE029C"/>
    <w:rsid w:val="00C81AAC"/>
    <w:rsid w:val="00E0507F"/>
    <w:rsid w:val="00E65772"/>
    <w:rsid w:val="00EF080F"/>
    <w:rsid w:val="00FB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768B"/>
  <w15:chartTrackingRefBased/>
  <w15:docId w15:val="{B6BC3DA3-C53E-4E5E-B309-D9F50A69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8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80F"/>
    <w:pPr>
      <w:ind w:left="720"/>
      <w:contextualSpacing/>
    </w:pPr>
  </w:style>
  <w:style w:type="table" w:styleId="TableGrid">
    <w:name w:val="Table Grid"/>
    <w:basedOn w:val="TableNormal"/>
    <w:uiPriority w:val="39"/>
    <w:rsid w:val="00B9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2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Čečura</dc:creator>
  <cp:keywords/>
  <dc:description/>
  <cp:lastModifiedBy>Magdalena Čečura</cp:lastModifiedBy>
  <cp:revision>7</cp:revision>
  <cp:lastPrinted>2023-01-31T14:42:00Z</cp:lastPrinted>
  <dcterms:created xsi:type="dcterms:W3CDTF">2023-01-30T13:27:00Z</dcterms:created>
  <dcterms:modified xsi:type="dcterms:W3CDTF">2023-02-15T10:21:00Z</dcterms:modified>
</cp:coreProperties>
</file>