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SVEUČILIŠTE U ZAGREBU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MUZIČKA AKADEMIJA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TRG REPUBLIKE HRVATSKE 12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10000 ZAGREB</w:t>
      </w:r>
    </w:p>
    <w:p w:rsidR="00EF080F" w:rsidRPr="00047B73" w:rsidRDefault="00EF080F" w:rsidP="00EF080F">
      <w:pPr>
        <w:rPr>
          <w:sz w:val="24"/>
          <w:szCs w:val="24"/>
        </w:rPr>
      </w:pPr>
      <w:r w:rsidRPr="00047B73">
        <w:rPr>
          <w:b/>
          <w:sz w:val="24"/>
          <w:szCs w:val="24"/>
        </w:rPr>
        <w:t>OIB:18422925218</w:t>
      </w:r>
    </w:p>
    <w:p w:rsidR="00EF080F" w:rsidRPr="00047B73" w:rsidRDefault="00EF080F" w:rsidP="00EF080F">
      <w:pPr>
        <w:rPr>
          <w:sz w:val="24"/>
          <w:szCs w:val="24"/>
        </w:rPr>
      </w:pPr>
      <w:r w:rsidRPr="00047B73">
        <w:rPr>
          <w:sz w:val="24"/>
          <w:szCs w:val="24"/>
        </w:rPr>
        <w:t xml:space="preserve">Zagreb, </w:t>
      </w:r>
      <w:r>
        <w:rPr>
          <w:sz w:val="24"/>
          <w:szCs w:val="24"/>
        </w:rPr>
        <w:t>31.01</w:t>
      </w:r>
      <w:r w:rsidRPr="00047B7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2D7456">
        <w:rPr>
          <w:sz w:val="24"/>
          <w:szCs w:val="24"/>
        </w:rPr>
        <w:t>4</w:t>
      </w:r>
      <w:r w:rsidRPr="00047B73">
        <w:rPr>
          <w:sz w:val="24"/>
          <w:szCs w:val="24"/>
        </w:rPr>
        <w:t>.</w:t>
      </w:r>
    </w:p>
    <w:p w:rsidR="00EF080F" w:rsidRDefault="00EF080F"/>
    <w:p w:rsidR="00EF080F" w:rsidRDefault="00EF080F" w:rsidP="00EF080F"/>
    <w:p w:rsidR="00EF080F" w:rsidRPr="00375805" w:rsidRDefault="00EF080F" w:rsidP="00EF080F">
      <w:pPr>
        <w:jc w:val="center"/>
        <w:rPr>
          <w:b/>
          <w:sz w:val="28"/>
          <w:szCs w:val="28"/>
        </w:rPr>
      </w:pPr>
      <w:r w:rsidRPr="00375805">
        <w:rPr>
          <w:b/>
          <w:sz w:val="28"/>
          <w:szCs w:val="28"/>
        </w:rPr>
        <w:t>B I L J E Š K E</w:t>
      </w:r>
    </w:p>
    <w:p w:rsidR="00EF080F" w:rsidRDefault="00EF080F" w:rsidP="00B0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FINANCIJSKO IZVJEŠĆE ZA 202</w:t>
      </w:r>
      <w:r w:rsidR="002D74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75805">
        <w:rPr>
          <w:b/>
          <w:sz w:val="28"/>
          <w:szCs w:val="28"/>
        </w:rPr>
        <w:t xml:space="preserve"> godinu</w:t>
      </w:r>
    </w:p>
    <w:p w:rsidR="00902EFC" w:rsidRDefault="00902EFC" w:rsidP="00B00A06">
      <w:pPr>
        <w:jc w:val="center"/>
        <w:rPr>
          <w:b/>
          <w:sz w:val="28"/>
          <w:szCs w:val="28"/>
        </w:rPr>
      </w:pPr>
    </w:p>
    <w:p w:rsidR="00902EFC" w:rsidRPr="00041848" w:rsidRDefault="00902EFC" w:rsidP="00041848">
      <w:pPr>
        <w:jc w:val="both"/>
        <w:rPr>
          <w:rFonts w:ascii="Times New Roman" w:hAnsi="Times New Roman" w:cs="Times New Roman"/>
          <w:b/>
        </w:rPr>
      </w:pPr>
    </w:p>
    <w:p w:rsidR="00902EFC" w:rsidRPr="00041848" w:rsidRDefault="00902EFC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PR-RAS</w:t>
      </w:r>
    </w:p>
    <w:p w:rsidR="00265732" w:rsidRPr="00041848" w:rsidRDefault="00265732" w:rsidP="00041848">
      <w:pPr>
        <w:pStyle w:val="ListParagraph"/>
        <w:jc w:val="both"/>
        <w:rPr>
          <w:rFonts w:ascii="Times New Roman" w:hAnsi="Times New Roman" w:cs="Times New Roman"/>
        </w:rPr>
      </w:pPr>
    </w:p>
    <w:p w:rsidR="00EF080F" w:rsidRPr="00041848" w:rsidRDefault="00321903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Prihodi poslovanja</w:t>
      </w:r>
      <w:r w:rsidR="00EF080F" w:rsidRPr="00041848">
        <w:rPr>
          <w:rFonts w:ascii="Times New Roman" w:hAnsi="Times New Roman" w:cs="Times New Roman"/>
        </w:rPr>
        <w:t>:</w:t>
      </w:r>
    </w:p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34"/>
        <w:gridCol w:w="1397"/>
        <w:gridCol w:w="1786"/>
        <w:gridCol w:w="1826"/>
        <w:gridCol w:w="1261"/>
      </w:tblGrid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404" w:type="dxa"/>
            <w:hideMark/>
          </w:tcPr>
          <w:p w:rsidR="00B914C1" w:rsidRPr="00041848" w:rsidRDefault="00B914C1" w:rsidP="00C81AAC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D7456">
              <w:rPr>
                <w:rFonts w:ascii="Times New Roman" w:hAnsi="Times New Roman" w:cs="Times New Roman"/>
                <w:bCs/>
              </w:rPr>
              <w:t>2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D7456">
              <w:rPr>
                <w:rFonts w:ascii="Times New Roman" w:hAnsi="Times New Roman" w:cs="Times New Roman"/>
                <w:bCs/>
              </w:rPr>
              <w:t>3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C81AAC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 poslovanja-ukupno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811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812,46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366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548,96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Pomoći iz inozemstva i od subjekata unutra općeg proračuna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213,35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  <w:r w:rsidR="0016167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142,99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291,59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386,46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C64ADA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po posebnim propisima i naknadama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123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420,63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134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025,99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od pruženih usluga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  <w:r w:rsidR="00265732" w:rsidRPr="000418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169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535,69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189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545,55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 iz nadležnog proračuna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  <w:r w:rsidR="00265732" w:rsidRPr="000418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D7456">
              <w:rPr>
                <w:rFonts w:ascii="Times New Roman" w:hAnsi="Times New Roman" w:cs="Times New Roman"/>
              </w:rPr>
              <w:t>6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387</w:t>
            </w:r>
            <w:r w:rsidR="0016167A">
              <w:rPr>
                <w:rFonts w:ascii="Times New Roman" w:hAnsi="Times New Roman" w:cs="Times New Roman"/>
              </w:rPr>
              <w:t>.</w:t>
            </w:r>
            <w:r w:rsidR="002D7456">
              <w:rPr>
                <w:rFonts w:ascii="Times New Roman" w:hAnsi="Times New Roman" w:cs="Times New Roman"/>
              </w:rPr>
              <w:t>762,17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16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979</w:t>
            </w:r>
            <w:r w:rsidR="001616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401,52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</w:t>
            </w:r>
          </w:p>
        </w:tc>
      </w:tr>
      <w:tr w:rsidR="00265732" w:rsidRPr="00041848" w:rsidTr="00265732">
        <w:trPr>
          <w:trHeight w:val="453"/>
        </w:trPr>
        <w:tc>
          <w:tcPr>
            <w:tcW w:w="3007" w:type="dxa"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Ostali prihodi</w:t>
            </w:r>
          </w:p>
        </w:tc>
        <w:tc>
          <w:tcPr>
            <w:tcW w:w="1404" w:type="dxa"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73" w:type="dxa"/>
            <w:noWrap/>
          </w:tcPr>
          <w:p w:rsidR="00265732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6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589,03</w:t>
            </w:r>
          </w:p>
        </w:tc>
        <w:tc>
          <w:tcPr>
            <w:tcW w:w="1826" w:type="dxa"/>
            <w:noWrap/>
          </w:tcPr>
          <w:p w:rsidR="00265732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46,45</w:t>
            </w:r>
          </w:p>
        </w:tc>
        <w:tc>
          <w:tcPr>
            <w:tcW w:w="1194" w:type="dxa"/>
            <w:noWrap/>
          </w:tcPr>
          <w:p w:rsidR="00265732" w:rsidRPr="00041848" w:rsidRDefault="002D745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</w:tbl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p w:rsidR="00890D84" w:rsidRPr="00041848" w:rsidRDefault="00265732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Ukupni prihod poslovanja u razdoblju od 01.01. do 31.12.202</w:t>
      </w:r>
      <w:r w:rsidR="00C3351D">
        <w:rPr>
          <w:rFonts w:ascii="Times New Roman" w:hAnsi="Times New Roman" w:cs="Times New Roman"/>
        </w:rPr>
        <w:t>3</w:t>
      </w:r>
      <w:r w:rsidRPr="00041848">
        <w:rPr>
          <w:rFonts w:ascii="Times New Roman" w:hAnsi="Times New Roman" w:cs="Times New Roman"/>
        </w:rPr>
        <w:t>. god.iznos</w:t>
      </w:r>
      <w:r w:rsidR="00FB1848" w:rsidRPr="00041848">
        <w:rPr>
          <w:rFonts w:ascii="Times New Roman" w:hAnsi="Times New Roman" w:cs="Times New Roman"/>
        </w:rPr>
        <w:t>i</w:t>
      </w:r>
      <w:r w:rsidRPr="00041848">
        <w:rPr>
          <w:rFonts w:ascii="Times New Roman" w:hAnsi="Times New Roman" w:cs="Times New Roman"/>
        </w:rPr>
        <w:t xml:space="preserve"> </w:t>
      </w:r>
      <w:r w:rsidR="00C3351D">
        <w:rPr>
          <w:rFonts w:ascii="Times New Roman" w:hAnsi="Times New Roman" w:cs="Times New Roman"/>
        </w:rPr>
        <w:t>7</w:t>
      </w:r>
      <w:r w:rsidR="008B2434">
        <w:rPr>
          <w:rFonts w:ascii="Times New Roman" w:hAnsi="Times New Roman" w:cs="Times New Roman"/>
        </w:rPr>
        <w:t>.</w:t>
      </w:r>
      <w:r w:rsidR="00C3351D">
        <w:rPr>
          <w:rFonts w:ascii="Times New Roman" w:hAnsi="Times New Roman" w:cs="Times New Roman"/>
        </w:rPr>
        <w:t>366</w:t>
      </w:r>
      <w:r w:rsidR="008B2434">
        <w:rPr>
          <w:rFonts w:ascii="Times New Roman" w:hAnsi="Times New Roman" w:cs="Times New Roman"/>
        </w:rPr>
        <w:t>.</w:t>
      </w:r>
      <w:r w:rsidR="00C3351D">
        <w:rPr>
          <w:rFonts w:ascii="Times New Roman" w:hAnsi="Times New Roman" w:cs="Times New Roman"/>
        </w:rPr>
        <w:t>548,96</w:t>
      </w:r>
      <w:r w:rsidRPr="00041848">
        <w:rPr>
          <w:rFonts w:ascii="Times New Roman" w:hAnsi="Times New Roman" w:cs="Times New Roman"/>
        </w:rPr>
        <w:t xml:space="preserve"> </w:t>
      </w:r>
      <w:r w:rsidR="00C3351D">
        <w:rPr>
          <w:rFonts w:ascii="Times New Roman" w:hAnsi="Times New Roman" w:cs="Times New Roman"/>
        </w:rPr>
        <w:t>eura</w:t>
      </w:r>
      <w:r w:rsidR="00890D84" w:rsidRPr="00041848">
        <w:rPr>
          <w:rFonts w:ascii="Times New Roman" w:hAnsi="Times New Roman" w:cs="Times New Roman"/>
        </w:rPr>
        <w:t xml:space="preserve"> što je </w:t>
      </w:r>
      <w:r w:rsidR="00C3351D">
        <w:rPr>
          <w:rFonts w:ascii="Times New Roman" w:hAnsi="Times New Roman" w:cs="Times New Roman"/>
        </w:rPr>
        <w:t>8,10</w:t>
      </w:r>
      <w:r w:rsidR="00890D84" w:rsidRPr="00041848">
        <w:rPr>
          <w:rFonts w:ascii="Times New Roman" w:hAnsi="Times New Roman" w:cs="Times New Roman"/>
        </w:rPr>
        <w:t>% više u odnosu na 202</w:t>
      </w:r>
      <w:r w:rsidR="00C3351D">
        <w:rPr>
          <w:rFonts w:ascii="Times New Roman" w:hAnsi="Times New Roman" w:cs="Times New Roman"/>
        </w:rPr>
        <w:t>2</w:t>
      </w:r>
      <w:r w:rsidR="00890D84" w:rsidRPr="00041848">
        <w:rPr>
          <w:rFonts w:ascii="Times New Roman" w:hAnsi="Times New Roman" w:cs="Times New Roman"/>
        </w:rPr>
        <w:t>.godinu.</w:t>
      </w:r>
      <w:r w:rsidRPr="00041848">
        <w:rPr>
          <w:rFonts w:ascii="Times New Roman" w:hAnsi="Times New Roman" w:cs="Times New Roman"/>
        </w:rPr>
        <w:t xml:space="preserve"> Prema strukturi </w:t>
      </w:r>
      <w:r w:rsidR="00890D84" w:rsidRPr="00041848">
        <w:rPr>
          <w:rFonts w:ascii="Times New Roman" w:hAnsi="Times New Roman" w:cs="Times New Roman"/>
        </w:rPr>
        <w:t xml:space="preserve">ostvarenih prihoda </w:t>
      </w:r>
      <w:r w:rsidRPr="00041848">
        <w:rPr>
          <w:rFonts w:ascii="Times New Roman" w:hAnsi="Times New Roman" w:cs="Times New Roman"/>
        </w:rPr>
        <w:t>9</w:t>
      </w:r>
      <w:r w:rsidR="00C3351D">
        <w:rPr>
          <w:rFonts w:ascii="Times New Roman" w:hAnsi="Times New Roman" w:cs="Times New Roman"/>
        </w:rPr>
        <w:t>4,74</w:t>
      </w:r>
      <w:r w:rsidRPr="00041848">
        <w:rPr>
          <w:rFonts w:ascii="Times New Roman" w:hAnsi="Times New Roman" w:cs="Times New Roman"/>
        </w:rPr>
        <w:t xml:space="preserve"> % se odnosi na </w:t>
      </w:r>
      <w:r w:rsidR="00890D84" w:rsidRPr="00041848">
        <w:rPr>
          <w:rFonts w:ascii="Times New Roman" w:hAnsi="Times New Roman" w:cs="Times New Roman"/>
        </w:rPr>
        <w:t>p</w:t>
      </w:r>
      <w:r w:rsidRPr="00041848">
        <w:rPr>
          <w:rFonts w:ascii="Times New Roman" w:hAnsi="Times New Roman" w:cs="Times New Roman"/>
        </w:rPr>
        <w:t xml:space="preserve">rihode iz nadležnog proračuna za financiranje redovne djelatnosti proračunskog korisnika </w:t>
      </w:r>
      <w:r w:rsidR="00890D84" w:rsidRPr="00041848">
        <w:rPr>
          <w:rFonts w:ascii="Times New Roman" w:hAnsi="Times New Roman" w:cs="Times New Roman"/>
        </w:rPr>
        <w:t>u</w:t>
      </w:r>
      <w:r w:rsidRPr="00041848">
        <w:rPr>
          <w:rFonts w:ascii="Times New Roman" w:hAnsi="Times New Roman" w:cs="Times New Roman"/>
        </w:rPr>
        <w:t xml:space="preserve"> iznos</w:t>
      </w:r>
      <w:r w:rsidR="00890D84" w:rsidRPr="00041848">
        <w:rPr>
          <w:rFonts w:ascii="Times New Roman" w:hAnsi="Times New Roman" w:cs="Times New Roman"/>
        </w:rPr>
        <w:t>u od</w:t>
      </w:r>
      <w:r w:rsidRPr="00041848">
        <w:rPr>
          <w:rFonts w:ascii="Times New Roman" w:hAnsi="Times New Roman" w:cs="Times New Roman"/>
        </w:rPr>
        <w:t xml:space="preserve"> </w:t>
      </w:r>
      <w:r w:rsidR="00C3351D">
        <w:rPr>
          <w:rFonts w:ascii="Times New Roman" w:hAnsi="Times New Roman" w:cs="Times New Roman"/>
        </w:rPr>
        <w:t>6</w:t>
      </w:r>
      <w:r w:rsidR="008B2434">
        <w:rPr>
          <w:rFonts w:ascii="Times New Roman" w:hAnsi="Times New Roman" w:cs="Times New Roman"/>
        </w:rPr>
        <w:t>.</w:t>
      </w:r>
      <w:r w:rsidR="00C3351D">
        <w:rPr>
          <w:rFonts w:ascii="Times New Roman" w:hAnsi="Times New Roman" w:cs="Times New Roman"/>
        </w:rPr>
        <w:t>979</w:t>
      </w:r>
      <w:r w:rsidR="008B2434">
        <w:rPr>
          <w:rFonts w:ascii="Times New Roman" w:hAnsi="Times New Roman" w:cs="Times New Roman"/>
        </w:rPr>
        <w:t>.</w:t>
      </w:r>
      <w:r w:rsidR="00C3351D">
        <w:rPr>
          <w:rFonts w:ascii="Times New Roman" w:hAnsi="Times New Roman" w:cs="Times New Roman"/>
        </w:rPr>
        <w:t>401,52</w:t>
      </w:r>
      <w:r w:rsidRPr="00041848">
        <w:rPr>
          <w:rFonts w:ascii="Times New Roman" w:hAnsi="Times New Roman" w:cs="Times New Roman"/>
        </w:rPr>
        <w:t xml:space="preserve"> </w:t>
      </w:r>
      <w:r w:rsidR="00C3351D">
        <w:rPr>
          <w:rFonts w:ascii="Times New Roman" w:hAnsi="Times New Roman" w:cs="Times New Roman"/>
        </w:rPr>
        <w:t>eura</w:t>
      </w:r>
      <w:r w:rsidRPr="00041848">
        <w:rPr>
          <w:rFonts w:ascii="Times New Roman" w:hAnsi="Times New Roman" w:cs="Times New Roman"/>
        </w:rPr>
        <w:t xml:space="preserve">. </w:t>
      </w: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Strukturu ostvarenih poslovnih prihoda čine:</w:t>
      </w:r>
    </w:p>
    <w:p w:rsidR="00265732" w:rsidRPr="00C81AAC" w:rsidRDefault="00FB18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Pomoći iz inozemstva i od subjekata unutra općeg proračuna</w:t>
      </w:r>
      <w:r w:rsidR="00C81AAC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 xml:space="preserve">na kontu 63 </w:t>
      </w:r>
      <w:r w:rsidR="00C81AAC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 iznos</w:t>
      </w:r>
      <w:r w:rsidR="00BE029C">
        <w:rPr>
          <w:rFonts w:ascii="Times New Roman" w:hAnsi="Times New Roman" w:cs="Times New Roman"/>
        </w:rPr>
        <w:t>e</w:t>
      </w:r>
      <w:r w:rsidR="00C81AAC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 </w:t>
      </w:r>
      <w:r w:rsidR="00C3351D">
        <w:rPr>
          <w:rFonts w:ascii="Times New Roman" w:hAnsi="Times New Roman" w:cs="Times New Roman"/>
          <w:bCs/>
        </w:rPr>
        <w:t>63</w:t>
      </w:r>
      <w:r w:rsidR="008B2434">
        <w:rPr>
          <w:rFonts w:ascii="Times New Roman" w:hAnsi="Times New Roman" w:cs="Times New Roman"/>
          <w:bCs/>
        </w:rPr>
        <w:t>.</w:t>
      </w:r>
      <w:r w:rsidR="00C3351D">
        <w:rPr>
          <w:rFonts w:ascii="Times New Roman" w:hAnsi="Times New Roman" w:cs="Times New Roman"/>
          <w:bCs/>
        </w:rPr>
        <w:t>142,99</w:t>
      </w:r>
      <w:r w:rsidR="00C3351D">
        <w:rPr>
          <w:rFonts w:ascii="Times New Roman" w:hAnsi="Times New Roman" w:cs="Times New Roman"/>
          <w:bCs/>
        </w:rPr>
        <w:t xml:space="preserve"> eura </w:t>
      </w:r>
      <w:r w:rsidRPr="00041848">
        <w:rPr>
          <w:rFonts w:ascii="Times New Roman" w:hAnsi="Times New Roman" w:cs="Times New Roman"/>
          <w:bCs/>
        </w:rPr>
        <w:t xml:space="preserve">što je </w:t>
      </w:r>
      <w:r w:rsidR="008B2434">
        <w:rPr>
          <w:rFonts w:ascii="Times New Roman" w:hAnsi="Times New Roman" w:cs="Times New Roman"/>
          <w:bCs/>
        </w:rPr>
        <w:t>50,4</w:t>
      </w:r>
      <w:r w:rsidR="006B6E48" w:rsidRPr="00041848">
        <w:rPr>
          <w:rFonts w:ascii="Times New Roman" w:hAnsi="Times New Roman" w:cs="Times New Roman"/>
          <w:bCs/>
        </w:rPr>
        <w:t xml:space="preserve"> % </w:t>
      </w:r>
      <w:r w:rsidR="00C3351D">
        <w:rPr>
          <w:rFonts w:ascii="Times New Roman" w:hAnsi="Times New Roman" w:cs="Times New Roman"/>
          <w:bCs/>
        </w:rPr>
        <w:t xml:space="preserve">manje </w:t>
      </w:r>
      <w:r w:rsidR="006B6E48" w:rsidRPr="00041848">
        <w:rPr>
          <w:rFonts w:ascii="Times New Roman" w:hAnsi="Times New Roman" w:cs="Times New Roman"/>
          <w:bCs/>
        </w:rPr>
        <w:t>u odnosu na 202</w:t>
      </w:r>
      <w:r w:rsidR="00C3351D">
        <w:rPr>
          <w:rFonts w:ascii="Times New Roman" w:hAnsi="Times New Roman" w:cs="Times New Roman"/>
          <w:bCs/>
        </w:rPr>
        <w:t>2</w:t>
      </w:r>
      <w:r w:rsidR="006B6E48" w:rsidRPr="00041848">
        <w:rPr>
          <w:rFonts w:ascii="Times New Roman" w:hAnsi="Times New Roman" w:cs="Times New Roman"/>
          <w:bCs/>
        </w:rPr>
        <w:t>.godinu</w:t>
      </w:r>
      <w:r w:rsidR="008B2434">
        <w:rPr>
          <w:rFonts w:ascii="Times New Roman" w:hAnsi="Times New Roman" w:cs="Times New Roman"/>
          <w:bCs/>
        </w:rPr>
        <w:t xml:space="preserve">U ovu stavku prihoda uključeni su: </w:t>
      </w:r>
      <w:r w:rsidRPr="00041848">
        <w:rPr>
          <w:rFonts w:ascii="Times New Roman" w:hAnsi="Times New Roman" w:cs="Times New Roman"/>
        </w:rPr>
        <w:t xml:space="preserve">prihod od </w:t>
      </w:r>
      <w:r w:rsidR="00E65772" w:rsidRPr="00041848">
        <w:rPr>
          <w:rFonts w:ascii="Times New Roman" w:hAnsi="Times New Roman" w:cs="Times New Roman"/>
        </w:rPr>
        <w:t xml:space="preserve"> Eu projekata u  iznos</w:t>
      </w:r>
      <w:r w:rsidR="00C81AAC">
        <w:rPr>
          <w:rFonts w:ascii="Times New Roman" w:hAnsi="Times New Roman" w:cs="Times New Roman"/>
        </w:rPr>
        <w:t xml:space="preserve">u od </w:t>
      </w:r>
      <w:r w:rsidR="00E65772" w:rsidRPr="00041848">
        <w:rPr>
          <w:rFonts w:ascii="Times New Roman" w:hAnsi="Times New Roman" w:cs="Times New Roman"/>
        </w:rPr>
        <w:t xml:space="preserve"> </w:t>
      </w:r>
      <w:r w:rsidR="00D35D1A">
        <w:rPr>
          <w:rFonts w:ascii="Times New Roman" w:hAnsi="Times New Roman" w:cs="Times New Roman"/>
        </w:rPr>
        <w:t>11.518,44 eura</w:t>
      </w:r>
      <w:r w:rsidR="00E65772" w:rsidRPr="00041848">
        <w:rPr>
          <w:rFonts w:ascii="Times New Roman" w:hAnsi="Times New Roman" w:cs="Times New Roman"/>
        </w:rPr>
        <w:t xml:space="preserve">, </w:t>
      </w:r>
      <w:r w:rsidR="00C81AAC">
        <w:rPr>
          <w:rFonts w:ascii="Times New Roman" w:hAnsi="Times New Roman" w:cs="Times New Roman"/>
        </w:rPr>
        <w:t>t</w:t>
      </w:r>
      <w:r w:rsidR="00A85EAA" w:rsidRPr="00041848">
        <w:rPr>
          <w:rFonts w:ascii="Times New Roman" w:hAnsi="Times New Roman" w:cs="Times New Roman"/>
        </w:rPr>
        <w:t>ekuće</w:t>
      </w:r>
      <w:r w:rsidR="00D35D1A">
        <w:rPr>
          <w:rFonts w:ascii="Times New Roman" w:hAnsi="Times New Roman" w:cs="Times New Roman"/>
        </w:rPr>
        <w:t xml:space="preserve"> </w:t>
      </w:r>
      <w:r w:rsidR="00A85EAA" w:rsidRPr="00041848">
        <w:rPr>
          <w:rFonts w:ascii="Times New Roman" w:hAnsi="Times New Roman" w:cs="Times New Roman"/>
        </w:rPr>
        <w:t xml:space="preserve">pomoći iz Grada </w:t>
      </w:r>
      <w:r w:rsidR="00C81AAC">
        <w:rPr>
          <w:rFonts w:ascii="Times New Roman" w:hAnsi="Times New Roman" w:cs="Times New Roman"/>
        </w:rPr>
        <w:t xml:space="preserve">za </w:t>
      </w:r>
      <w:r w:rsidR="00BE029C" w:rsidRPr="00041848">
        <w:rPr>
          <w:rFonts w:ascii="Times New Roman" w:hAnsi="Times New Roman" w:cs="Times New Roman"/>
        </w:rPr>
        <w:t xml:space="preserve"> </w:t>
      </w:r>
      <w:r w:rsidR="008B2434">
        <w:rPr>
          <w:rFonts w:ascii="Times New Roman" w:hAnsi="Times New Roman" w:cs="Times New Roman"/>
        </w:rPr>
        <w:t xml:space="preserve">tekuće  projekte </w:t>
      </w:r>
      <w:r w:rsidR="00BE029C">
        <w:rPr>
          <w:rFonts w:ascii="Times New Roman" w:hAnsi="Times New Roman" w:cs="Times New Roman"/>
        </w:rPr>
        <w:t>od</w:t>
      </w:r>
      <w:r w:rsidR="00A85EAA" w:rsidRPr="00041848">
        <w:rPr>
          <w:rFonts w:ascii="Times New Roman" w:hAnsi="Times New Roman" w:cs="Times New Roman"/>
        </w:rPr>
        <w:t xml:space="preserve"> </w:t>
      </w:r>
      <w:r w:rsidR="00D35D1A">
        <w:rPr>
          <w:rFonts w:ascii="Times New Roman" w:hAnsi="Times New Roman" w:cs="Times New Roman"/>
        </w:rPr>
        <w:t>3.000,00 eura</w:t>
      </w:r>
      <w:r w:rsidR="00A85EAA" w:rsidRPr="00041848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 xml:space="preserve">te </w:t>
      </w:r>
      <w:r w:rsidR="00A85EAA" w:rsidRPr="00041848">
        <w:rPr>
          <w:rFonts w:ascii="Times New Roman" w:hAnsi="Times New Roman" w:cs="Times New Roman"/>
        </w:rPr>
        <w:t xml:space="preserve">kapitalna pomoć </w:t>
      </w:r>
      <w:r w:rsidR="00265732" w:rsidRPr="00041848">
        <w:rPr>
          <w:rFonts w:ascii="Times New Roman" w:hAnsi="Times New Roman" w:cs="Times New Roman"/>
        </w:rPr>
        <w:t xml:space="preserve">iz gradskog proračuna za pokriće odvjetničkih troškova radi spora sa izvođačem radova na novoj zgradi </w:t>
      </w:r>
      <w:r w:rsidR="00A85EAA" w:rsidRPr="00041848">
        <w:rPr>
          <w:rFonts w:ascii="Times New Roman" w:hAnsi="Times New Roman" w:cs="Times New Roman"/>
        </w:rPr>
        <w:t xml:space="preserve">u iznosu od </w:t>
      </w:r>
      <w:r w:rsidR="00D35D1A">
        <w:rPr>
          <w:rFonts w:ascii="Times New Roman" w:hAnsi="Times New Roman" w:cs="Times New Roman"/>
        </w:rPr>
        <w:t xml:space="preserve">16.001,26 eura, </w:t>
      </w:r>
      <w:r w:rsidR="00265732" w:rsidRPr="00041848">
        <w:rPr>
          <w:rFonts w:ascii="Times New Roman" w:hAnsi="Times New Roman" w:cs="Times New Roman"/>
        </w:rPr>
        <w:t>a sve prema ranije potpisanom spor</w:t>
      </w:r>
      <w:r w:rsidR="00BE029C">
        <w:rPr>
          <w:rFonts w:ascii="Times New Roman" w:hAnsi="Times New Roman" w:cs="Times New Roman"/>
        </w:rPr>
        <w:t>azumu</w:t>
      </w:r>
      <w:r w:rsidRPr="00041848">
        <w:rPr>
          <w:rFonts w:ascii="Times New Roman" w:hAnsi="Times New Roman" w:cs="Times New Roman"/>
        </w:rPr>
        <w:t xml:space="preserve">. </w:t>
      </w:r>
      <w:r w:rsidR="00265732" w:rsidRPr="00041848">
        <w:rPr>
          <w:rFonts w:ascii="Times New Roman" w:hAnsi="Times New Roman" w:cs="Times New Roman"/>
        </w:rPr>
        <w:t>Od tekućih pomoći od korisnika istog proračuna dobili smo u 202</w:t>
      </w:r>
      <w:r w:rsidR="0016167A">
        <w:rPr>
          <w:rFonts w:ascii="Times New Roman" w:hAnsi="Times New Roman" w:cs="Times New Roman"/>
        </w:rPr>
        <w:t>3</w:t>
      </w:r>
      <w:r w:rsidR="00265732" w:rsidRPr="00041848">
        <w:rPr>
          <w:rFonts w:ascii="Times New Roman" w:hAnsi="Times New Roman" w:cs="Times New Roman"/>
        </w:rPr>
        <w:t xml:space="preserve">.godini </w:t>
      </w:r>
      <w:r w:rsidR="0016167A">
        <w:rPr>
          <w:rFonts w:ascii="Times New Roman" w:hAnsi="Times New Roman" w:cs="Times New Roman"/>
        </w:rPr>
        <w:t>30.623,29 eura</w:t>
      </w:r>
      <w:r w:rsidR="00265732" w:rsidRPr="00041848">
        <w:rPr>
          <w:rFonts w:ascii="Times New Roman" w:hAnsi="Times New Roman" w:cs="Times New Roman"/>
        </w:rPr>
        <w:t xml:space="preserve"> za </w:t>
      </w:r>
      <w:r w:rsidRPr="00041848">
        <w:rPr>
          <w:rFonts w:ascii="Times New Roman" w:hAnsi="Times New Roman" w:cs="Times New Roman"/>
        </w:rPr>
        <w:t xml:space="preserve">realizaciju </w:t>
      </w:r>
      <w:r w:rsidR="00BE029C">
        <w:rPr>
          <w:rFonts w:ascii="Times New Roman" w:hAnsi="Times New Roman" w:cs="Times New Roman"/>
        </w:rPr>
        <w:t xml:space="preserve">tekućih </w:t>
      </w:r>
      <w:r w:rsidR="00265732" w:rsidRPr="00041848">
        <w:rPr>
          <w:rFonts w:ascii="Times New Roman" w:hAnsi="Times New Roman" w:cs="Times New Roman"/>
        </w:rPr>
        <w:t>projek</w:t>
      </w:r>
      <w:r w:rsidRPr="00041848">
        <w:rPr>
          <w:rFonts w:ascii="Times New Roman" w:hAnsi="Times New Roman" w:cs="Times New Roman"/>
        </w:rPr>
        <w:t>ata</w:t>
      </w:r>
      <w:r w:rsidR="008B2434">
        <w:rPr>
          <w:rFonts w:ascii="Times New Roman" w:hAnsi="Times New Roman" w:cs="Times New Roman"/>
        </w:rPr>
        <w:t>.</w:t>
      </w:r>
    </w:p>
    <w:p w:rsidR="006B6E48" w:rsidRPr="00041848" w:rsidRDefault="006B6E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U ostvareni prihod od imovine na kontu 64 u ukupnom iznosu od </w:t>
      </w:r>
      <w:r w:rsidR="00C64ADA">
        <w:rPr>
          <w:rFonts w:ascii="Times New Roman" w:hAnsi="Times New Roman" w:cs="Times New Roman"/>
        </w:rPr>
        <w:t>386,46</w:t>
      </w:r>
      <w:r w:rsidR="00C64ADA">
        <w:rPr>
          <w:rFonts w:ascii="Times New Roman" w:hAnsi="Times New Roman" w:cs="Times New Roman"/>
        </w:rPr>
        <w:t xml:space="preserve"> eura </w:t>
      </w:r>
      <w:r w:rsidRPr="00041848">
        <w:rPr>
          <w:rFonts w:ascii="Times New Roman" w:hAnsi="Times New Roman" w:cs="Times New Roman"/>
        </w:rPr>
        <w:t xml:space="preserve">što je </w:t>
      </w:r>
      <w:r w:rsidR="00C64ADA">
        <w:rPr>
          <w:rFonts w:ascii="Times New Roman" w:hAnsi="Times New Roman" w:cs="Times New Roman"/>
        </w:rPr>
        <w:t>32,5</w:t>
      </w:r>
      <w:r w:rsidRPr="00041848">
        <w:rPr>
          <w:rFonts w:ascii="Times New Roman" w:hAnsi="Times New Roman" w:cs="Times New Roman"/>
        </w:rPr>
        <w:t>% više u odnosu na 202</w:t>
      </w:r>
      <w:r w:rsidR="00C64ADA">
        <w:rPr>
          <w:rFonts w:ascii="Times New Roman" w:hAnsi="Times New Roman" w:cs="Times New Roman"/>
        </w:rPr>
        <w:t>2</w:t>
      </w:r>
      <w:r w:rsidRPr="00041848">
        <w:rPr>
          <w:rFonts w:ascii="Times New Roman" w:hAnsi="Times New Roman" w:cs="Times New Roman"/>
        </w:rPr>
        <w:t xml:space="preserve">.godinu, a sastoji se od: prihoda od pozitivnih tečajnih razlika u iznosu od </w:t>
      </w:r>
      <w:r w:rsidR="00C64ADA">
        <w:rPr>
          <w:rFonts w:ascii="Times New Roman" w:hAnsi="Times New Roman" w:cs="Times New Roman"/>
        </w:rPr>
        <w:t>133,77 eura</w:t>
      </w:r>
      <w:r w:rsidRPr="00041848">
        <w:rPr>
          <w:rFonts w:ascii="Times New Roman" w:hAnsi="Times New Roman" w:cs="Times New Roman"/>
        </w:rPr>
        <w:t xml:space="preserve"> i </w:t>
      </w:r>
      <w:r w:rsidR="00C64ADA">
        <w:rPr>
          <w:rFonts w:ascii="Times New Roman" w:hAnsi="Times New Roman" w:cs="Times New Roman"/>
        </w:rPr>
        <w:t>252,69</w:t>
      </w:r>
      <w:r w:rsidRPr="00041848">
        <w:rPr>
          <w:rFonts w:ascii="Times New Roman" w:hAnsi="Times New Roman" w:cs="Times New Roman"/>
        </w:rPr>
        <w:t xml:space="preserve"> </w:t>
      </w:r>
      <w:r w:rsidR="00C64ADA">
        <w:rPr>
          <w:rFonts w:ascii="Times New Roman" w:hAnsi="Times New Roman" w:cs="Times New Roman"/>
        </w:rPr>
        <w:t>eura</w:t>
      </w:r>
      <w:r w:rsidRPr="00041848">
        <w:rPr>
          <w:rFonts w:ascii="Times New Roman" w:hAnsi="Times New Roman" w:cs="Times New Roman"/>
        </w:rPr>
        <w:t xml:space="preserve"> </w:t>
      </w:r>
      <w:r w:rsidR="008B2434">
        <w:rPr>
          <w:rFonts w:ascii="Times New Roman" w:hAnsi="Times New Roman" w:cs="Times New Roman"/>
        </w:rPr>
        <w:t xml:space="preserve">prihod od </w:t>
      </w:r>
      <w:r w:rsidRPr="00041848">
        <w:rPr>
          <w:rFonts w:ascii="Times New Roman" w:hAnsi="Times New Roman" w:cs="Times New Roman"/>
        </w:rPr>
        <w:t>kamate.</w:t>
      </w:r>
    </w:p>
    <w:p w:rsidR="008B2434" w:rsidRDefault="006B6E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kontu</w:t>
      </w:r>
      <w:r w:rsidR="00265732" w:rsidRPr="00041848">
        <w:rPr>
          <w:rFonts w:ascii="Times New Roman" w:hAnsi="Times New Roman" w:cs="Times New Roman"/>
        </w:rPr>
        <w:t xml:space="preserve"> 65</w:t>
      </w:r>
      <w:r w:rsidRPr="00041848">
        <w:rPr>
          <w:rFonts w:ascii="Times New Roman" w:hAnsi="Times New Roman" w:cs="Times New Roman"/>
        </w:rPr>
        <w:t xml:space="preserve"> iskazan je </w:t>
      </w:r>
      <w:r w:rsidR="00265732" w:rsidRPr="00041848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>p</w:t>
      </w:r>
      <w:r w:rsidR="00265732" w:rsidRPr="00041848">
        <w:rPr>
          <w:rFonts w:ascii="Times New Roman" w:hAnsi="Times New Roman" w:cs="Times New Roman"/>
        </w:rPr>
        <w:t>rihoda od pristojbi po posebnim propisima</w:t>
      </w:r>
      <w:r w:rsidR="005262D0" w:rsidRPr="00041848">
        <w:rPr>
          <w:rFonts w:ascii="Times New Roman" w:hAnsi="Times New Roman" w:cs="Times New Roman"/>
        </w:rPr>
        <w:t xml:space="preserve"> u što spada </w:t>
      </w:r>
      <w:r w:rsidRPr="00041848">
        <w:rPr>
          <w:rFonts w:ascii="Times New Roman" w:hAnsi="Times New Roman" w:cs="Times New Roman"/>
        </w:rPr>
        <w:t xml:space="preserve">prihod od školarina integriranog studija u iznosu od </w:t>
      </w:r>
      <w:r w:rsidR="00C64ADA">
        <w:rPr>
          <w:rFonts w:ascii="Times New Roman" w:hAnsi="Times New Roman" w:cs="Times New Roman"/>
        </w:rPr>
        <w:t>134.025,99</w:t>
      </w:r>
      <w:r w:rsidR="00C64ADA">
        <w:rPr>
          <w:rFonts w:ascii="Times New Roman" w:hAnsi="Times New Roman" w:cs="Times New Roman"/>
        </w:rPr>
        <w:t xml:space="preserve"> eura </w:t>
      </w:r>
      <w:r w:rsidR="005262D0" w:rsidRPr="00041848">
        <w:rPr>
          <w:rFonts w:ascii="Times New Roman" w:hAnsi="Times New Roman" w:cs="Times New Roman"/>
        </w:rPr>
        <w:t xml:space="preserve">što je </w:t>
      </w:r>
      <w:r w:rsidR="00C64ADA">
        <w:rPr>
          <w:rFonts w:ascii="Times New Roman" w:hAnsi="Times New Roman" w:cs="Times New Roman"/>
        </w:rPr>
        <w:t>više za 8,6</w:t>
      </w:r>
      <w:r w:rsidR="005262D0" w:rsidRPr="00041848">
        <w:rPr>
          <w:rFonts w:ascii="Times New Roman" w:hAnsi="Times New Roman" w:cs="Times New Roman"/>
        </w:rPr>
        <w:t>% u odnosu na 202</w:t>
      </w:r>
      <w:r w:rsidR="00C64ADA">
        <w:rPr>
          <w:rFonts w:ascii="Times New Roman" w:hAnsi="Times New Roman" w:cs="Times New Roman"/>
        </w:rPr>
        <w:t>2</w:t>
      </w:r>
      <w:r w:rsidR="005262D0" w:rsidRPr="00041848">
        <w:rPr>
          <w:rFonts w:ascii="Times New Roman" w:hAnsi="Times New Roman" w:cs="Times New Roman"/>
        </w:rPr>
        <w:t>.godinu.</w:t>
      </w:r>
      <w:r w:rsidR="00265732" w:rsidRPr="00041848">
        <w:rPr>
          <w:rFonts w:ascii="Times New Roman" w:hAnsi="Times New Roman" w:cs="Times New Roman"/>
        </w:rPr>
        <w:t xml:space="preserve"> </w:t>
      </w:r>
      <w:r w:rsidR="00C64ADA">
        <w:rPr>
          <w:rFonts w:ascii="Times New Roman" w:hAnsi="Times New Roman" w:cs="Times New Roman"/>
        </w:rPr>
        <w:t xml:space="preserve"> Na povećanje su utjecale veće mjere kontrole naplate školarine od studenata. </w:t>
      </w:r>
    </w:p>
    <w:p w:rsidR="00265732" w:rsidRPr="00041848" w:rsidRDefault="00265732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Prihod od pruženih usluga na tržištu </w:t>
      </w:r>
      <w:r w:rsidR="008B2434">
        <w:rPr>
          <w:rFonts w:ascii="Times New Roman" w:hAnsi="Times New Roman" w:cs="Times New Roman"/>
        </w:rPr>
        <w:t xml:space="preserve">65 </w:t>
      </w:r>
      <w:r w:rsidR="00BE029C">
        <w:rPr>
          <w:rFonts w:ascii="Times New Roman" w:hAnsi="Times New Roman" w:cs="Times New Roman"/>
        </w:rPr>
        <w:t>iznosi</w:t>
      </w:r>
      <w:r w:rsidR="00C64ADA">
        <w:rPr>
          <w:rFonts w:ascii="Times New Roman" w:hAnsi="Times New Roman" w:cs="Times New Roman"/>
        </w:rPr>
        <w:t xml:space="preserve"> </w:t>
      </w:r>
      <w:r w:rsidR="00C64ADA">
        <w:rPr>
          <w:rFonts w:ascii="Times New Roman" w:hAnsi="Times New Roman" w:cs="Times New Roman"/>
        </w:rPr>
        <w:t>189.545,55</w:t>
      </w:r>
      <w:r w:rsidR="00C64ADA">
        <w:rPr>
          <w:rFonts w:ascii="Times New Roman" w:hAnsi="Times New Roman" w:cs="Times New Roman"/>
        </w:rPr>
        <w:t xml:space="preserve">eura </w:t>
      </w:r>
      <w:r w:rsidR="00BE029C">
        <w:rPr>
          <w:rFonts w:ascii="Times New Roman" w:hAnsi="Times New Roman" w:cs="Times New Roman"/>
        </w:rPr>
        <w:t xml:space="preserve">,a </w:t>
      </w:r>
      <w:r w:rsidR="005262D0" w:rsidRPr="00041848">
        <w:rPr>
          <w:rFonts w:ascii="Times New Roman" w:hAnsi="Times New Roman" w:cs="Times New Roman"/>
        </w:rPr>
        <w:t>uključuje</w:t>
      </w:r>
      <w:r w:rsidR="00FD75EB">
        <w:rPr>
          <w:rFonts w:ascii="Times New Roman" w:hAnsi="Times New Roman" w:cs="Times New Roman"/>
        </w:rPr>
        <w:t>:</w:t>
      </w:r>
      <w:r w:rsidR="005262D0" w:rsidRPr="00041848">
        <w:rPr>
          <w:rFonts w:ascii="Times New Roman" w:hAnsi="Times New Roman" w:cs="Times New Roman"/>
        </w:rPr>
        <w:t>usluge najma prostora, instrumenata, prihode od školarina na doktorskom i specijalističkom studiju</w:t>
      </w:r>
      <w:r w:rsidR="00C64ADA">
        <w:rPr>
          <w:rFonts w:ascii="Times New Roman" w:hAnsi="Times New Roman" w:cs="Times New Roman"/>
        </w:rPr>
        <w:t>, prihod od prodaje knjiga</w:t>
      </w:r>
      <w:r w:rsidR="005262D0" w:rsidRPr="00041848">
        <w:rPr>
          <w:rFonts w:ascii="Times New Roman" w:hAnsi="Times New Roman" w:cs="Times New Roman"/>
        </w:rPr>
        <w:t xml:space="preserve"> </w:t>
      </w:r>
      <w:r w:rsidR="00C64ADA">
        <w:rPr>
          <w:rFonts w:ascii="Times New Roman" w:hAnsi="Times New Roman" w:cs="Times New Roman"/>
        </w:rPr>
        <w:t>i prihod od donacija</w:t>
      </w:r>
      <w:r w:rsidR="005262D0" w:rsidRPr="00041848">
        <w:rPr>
          <w:rFonts w:ascii="Times New Roman" w:hAnsi="Times New Roman" w:cs="Times New Roman"/>
        </w:rPr>
        <w:t xml:space="preserve">i za </w:t>
      </w:r>
      <w:r w:rsidR="00C64ADA">
        <w:rPr>
          <w:rFonts w:ascii="Times New Roman" w:hAnsi="Times New Roman" w:cs="Times New Roman"/>
        </w:rPr>
        <w:t>11,8</w:t>
      </w:r>
      <w:r w:rsidR="005262D0" w:rsidRPr="00041848">
        <w:rPr>
          <w:rFonts w:ascii="Times New Roman" w:hAnsi="Times New Roman" w:cs="Times New Roman"/>
        </w:rPr>
        <w:t>% je viši u odnosu na 202</w:t>
      </w:r>
      <w:r w:rsidR="00C64ADA">
        <w:rPr>
          <w:rFonts w:ascii="Times New Roman" w:hAnsi="Times New Roman" w:cs="Times New Roman"/>
        </w:rPr>
        <w:t>2</w:t>
      </w:r>
      <w:r w:rsidR="005262D0" w:rsidRPr="00041848">
        <w:rPr>
          <w:rFonts w:ascii="Times New Roman" w:hAnsi="Times New Roman" w:cs="Times New Roman"/>
        </w:rPr>
        <w:t>.godinu.</w:t>
      </w:r>
    </w:p>
    <w:p w:rsidR="005262D0" w:rsidRPr="00041848" w:rsidRDefault="00BE029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262D0" w:rsidRPr="00041848">
        <w:rPr>
          <w:rFonts w:ascii="Times New Roman" w:hAnsi="Times New Roman" w:cs="Times New Roman"/>
        </w:rPr>
        <w:t>kup</w:t>
      </w:r>
      <w:r w:rsidR="0016740A">
        <w:rPr>
          <w:rFonts w:ascii="Times New Roman" w:hAnsi="Times New Roman" w:cs="Times New Roman"/>
        </w:rPr>
        <w:t xml:space="preserve">an </w:t>
      </w:r>
      <w:r w:rsidR="005262D0" w:rsidRPr="00041848">
        <w:rPr>
          <w:rFonts w:ascii="Times New Roman" w:hAnsi="Times New Roman" w:cs="Times New Roman"/>
        </w:rPr>
        <w:t xml:space="preserve"> prihod iz nadležnog proračuna </w:t>
      </w:r>
      <w:r>
        <w:rPr>
          <w:rFonts w:ascii="Times New Roman" w:hAnsi="Times New Roman" w:cs="Times New Roman"/>
        </w:rPr>
        <w:t xml:space="preserve">na kontu 67 iznosi </w:t>
      </w:r>
      <w:r w:rsidR="005262D0" w:rsidRPr="00041848">
        <w:rPr>
          <w:rFonts w:ascii="Times New Roman" w:hAnsi="Times New Roman" w:cs="Times New Roman"/>
        </w:rPr>
        <w:t xml:space="preserve"> </w:t>
      </w:r>
      <w:r w:rsidR="00C64ADA">
        <w:rPr>
          <w:rFonts w:ascii="Times New Roman" w:hAnsi="Times New Roman" w:cs="Times New Roman"/>
        </w:rPr>
        <w:t>6.979.401,52</w:t>
      </w:r>
      <w:r w:rsidR="00C64ADA">
        <w:rPr>
          <w:rFonts w:ascii="Times New Roman" w:hAnsi="Times New Roman" w:cs="Times New Roman"/>
        </w:rPr>
        <w:t xml:space="preserve"> eura </w:t>
      </w:r>
      <w:r>
        <w:rPr>
          <w:rFonts w:ascii="Times New Roman" w:hAnsi="Times New Roman" w:cs="Times New Roman"/>
        </w:rPr>
        <w:t>i namjenjen je za</w:t>
      </w:r>
      <w:r w:rsidR="005262D0" w:rsidRPr="00041848">
        <w:rPr>
          <w:rFonts w:ascii="Times New Roman" w:hAnsi="Times New Roman" w:cs="Times New Roman"/>
        </w:rPr>
        <w:t xml:space="preserve"> financiranje rashoda poslovanja i viši su za 2,7</w:t>
      </w:r>
      <w:r w:rsidR="00B00A06" w:rsidRPr="00041848">
        <w:rPr>
          <w:rFonts w:ascii="Times New Roman" w:hAnsi="Times New Roman" w:cs="Times New Roman"/>
        </w:rPr>
        <w:t>1</w:t>
      </w:r>
      <w:r w:rsidR="005262D0" w:rsidRPr="00041848">
        <w:rPr>
          <w:rFonts w:ascii="Times New Roman" w:hAnsi="Times New Roman" w:cs="Times New Roman"/>
        </w:rPr>
        <w:t>% u odnosu na 2022.godinu.</w:t>
      </w:r>
      <w:r w:rsidR="0016740A">
        <w:rPr>
          <w:rFonts w:ascii="Times New Roman" w:hAnsi="Times New Roman" w:cs="Times New Roman"/>
        </w:rPr>
        <w:t xml:space="preserve"> Na povećanje ove stavke utjecalo je pove</w:t>
      </w:r>
      <w:r w:rsidR="00FD75EB">
        <w:rPr>
          <w:rFonts w:ascii="Times New Roman" w:hAnsi="Times New Roman" w:cs="Times New Roman"/>
        </w:rPr>
        <w:t>ć</w:t>
      </w:r>
      <w:r w:rsidR="0016740A">
        <w:rPr>
          <w:rFonts w:ascii="Times New Roman" w:hAnsi="Times New Roman" w:cs="Times New Roman"/>
        </w:rPr>
        <w:t>anje bruto osnovice plaće u 2023.godini .</w:t>
      </w:r>
    </w:p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p w:rsidR="006B6E48" w:rsidRPr="00041848" w:rsidRDefault="00B00A06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Rashodi poslovanja</w:t>
      </w: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72"/>
        <w:gridCol w:w="1377"/>
        <w:gridCol w:w="1673"/>
        <w:gridCol w:w="1826"/>
        <w:gridCol w:w="1356"/>
      </w:tblGrid>
      <w:tr w:rsidR="00B00A06" w:rsidRPr="00041848" w:rsidTr="00B00A06">
        <w:trPr>
          <w:trHeight w:val="452"/>
        </w:trPr>
        <w:tc>
          <w:tcPr>
            <w:tcW w:w="2872" w:type="dxa"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16740A">
              <w:rPr>
                <w:rFonts w:ascii="Times New Roman" w:hAnsi="Times New Roman" w:cs="Times New Roman"/>
                <w:bCs/>
              </w:rPr>
              <w:t>2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16740A">
              <w:rPr>
                <w:rFonts w:ascii="Times New Roman" w:hAnsi="Times New Roman" w:cs="Times New Roman"/>
                <w:bCs/>
              </w:rPr>
              <w:t>3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B00A06" w:rsidRPr="00041848" w:rsidTr="00B00A06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POSLOVANJA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7.003.027,25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7.522.891,22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B00A06" w:rsidRPr="00041848" w:rsidTr="00FB5C04">
        <w:trPr>
          <w:trHeight w:val="453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zaposlene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5.482.783,6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6.041.563,21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</w:tr>
      <w:tr w:rsidR="00B00A06" w:rsidRPr="00041848" w:rsidTr="003C7303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Materijalni rashodi</w:t>
            </w:r>
            <w:r w:rsidR="00BE02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1.507.600,58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1.476.966,22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</w:tr>
      <w:tr w:rsidR="00B00A06" w:rsidRPr="00041848" w:rsidTr="00A52C5F">
        <w:trPr>
          <w:trHeight w:val="453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Financijski rashodi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11.780,37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3.658,21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</w:tr>
      <w:tr w:rsidR="00B00A06" w:rsidRPr="00041848" w:rsidTr="00216ACE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Naknade građanima i kućanstvima na temelju osiguranja i druge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862,7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16740A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609,00</w:t>
            </w:r>
          </w:p>
        </w:tc>
        <w:tc>
          <w:tcPr>
            <w:tcW w:w="1356" w:type="dxa"/>
            <w:noWrap/>
            <w:hideMark/>
          </w:tcPr>
          <w:p w:rsidR="00B00A06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  <w:p w:rsidR="0016740A" w:rsidRPr="00041848" w:rsidRDefault="0016740A" w:rsidP="0004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Ukupni rashodi poslovanja u izvještajnom razdoblju od 01.01. do 31.12.202</w:t>
      </w:r>
      <w:r w:rsidR="0016740A">
        <w:rPr>
          <w:rFonts w:ascii="Times New Roman" w:hAnsi="Times New Roman" w:cs="Times New Roman"/>
        </w:rPr>
        <w:t>3</w:t>
      </w:r>
      <w:r w:rsidRPr="00041848">
        <w:rPr>
          <w:rFonts w:ascii="Times New Roman" w:hAnsi="Times New Roman" w:cs="Times New Roman"/>
        </w:rPr>
        <w:t>. godine iznos</w:t>
      </w:r>
      <w:r w:rsidR="00E0507F" w:rsidRPr="00041848">
        <w:rPr>
          <w:rFonts w:ascii="Times New Roman" w:hAnsi="Times New Roman" w:cs="Times New Roman"/>
        </w:rPr>
        <w:t>i</w:t>
      </w:r>
      <w:r w:rsidR="00FD75EB">
        <w:rPr>
          <w:rFonts w:ascii="Times New Roman" w:hAnsi="Times New Roman" w:cs="Times New Roman"/>
        </w:rPr>
        <w:t xml:space="preserve"> </w:t>
      </w:r>
      <w:r w:rsidR="0016740A">
        <w:rPr>
          <w:rFonts w:ascii="Times New Roman" w:hAnsi="Times New Roman" w:cs="Times New Roman"/>
          <w:bCs/>
        </w:rPr>
        <w:t>7.522.891,22</w:t>
      </w:r>
      <w:r w:rsidR="0016740A">
        <w:rPr>
          <w:rFonts w:ascii="Times New Roman" w:hAnsi="Times New Roman" w:cs="Times New Roman"/>
          <w:bCs/>
        </w:rPr>
        <w:t xml:space="preserve"> eura</w:t>
      </w:r>
      <w:r w:rsidRPr="00041848">
        <w:rPr>
          <w:rFonts w:ascii="Times New Roman" w:hAnsi="Times New Roman" w:cs="Times New Roman"/>
        </w:rPr>
        <w:t xml:space="preserve"> </w:t>
      </w:r>
      <w:r w:rsidR="00E0507F" w:rsidRPr="00041848">
        <w:rPr>
          <w:rFonts w:ascii="Times New Roman" w:hAnsi="Times New Roman" w:cs="Times New Roman"/>
        </w:rPr>
        <w:t>što je</w:t>
      </w:r>
      <w:r w:rsidRPr="00041848">
        <w:rPr>
          <w:rFonts w:ascii="Times New Roman" w:hAnsi="Times New Roman" w:cs="Times New Roman"/>
        </w:rPr>
        <w:t xml:space="preserve"> </w:t>
      </w:r>
      <w:r w:rsidR="0016740A">
        <w:rPr>
          <w:rFonts w:ascii="Times New Roman" w:hAnsi="Times New Roman" w:cs="Times New Roman"/>
        </w:rPr>
        <w:t>7,4</w:t>
      </w:r>
      <w:r w:rsidRPr="00041848">
        <w:rPr>
          <w:rFonts w:ascii="Times New Roman" w:hAnsi="Times New Roman" w:cs="Times New Roman"/>
        </w:rPr>
        <w:t>%</w:t>
      </w:r>
      <w:r w:rsidR="00BE029C">
        <w:rPr>
          <w:rFonts w:ascii="Times New Roman" w:hAnsi="Times New Roman" w:cs="Times New Roman"/>
        </w:rPr>
        <w:t xml:space="preserve"> više</w:t>
      </w:r>
      <w:r w:rsidRPr="00041848">
        <w:rPr>
          <w:rFonts w:ascii="Times New Roman" w:hAnsi="Times New Roman" w:cs="Times New Roman"/>
        </w:rPr>
        <w:t xml:space="preserve"> u odnosu na 202</w:t>
      </w:r>
      <w:r w:rsidR="0016740A">
        <w:rPr>
          <w:rFonts w:ascii="Times New Roman" w:hAnsi="Times New Roman" w:cs="Times New Roman"/>
        </w:rPr>
        <w:t>2</w:t>
      </w:r>
      <w:r w:rsidRPr="00041848">
        <w:rPr>
          <w:rFonts w:ascii="Times New Roman" w:hAnsi="Times New Roman" w:cs="Times New Roman"/>
        </w:rPr>
        <w:t xml:space="preserve">.godinu. Najveće učešće u strukturi </w:t>
      </w:r>
      <w:r w:rsidR="00BE029C">
        <w:rPr>
          <w:rFonts w:ascii="Times New Roman" w:hAnsi="Times New Roman" w:cs="Times New Roman"/>
        </w:rPr>
        <w:t>rashoda poslovanja</w:t>
      </w:r>
      <w:r w:rsidRPr="00041848">
        <w:rPr>
          <w:rFonts w:ascii="Times New Roman" w:hAnsi="Times New Roman" w:cs="Times New Roman"/>
        </w:rPr>
        <w:t xml:space="preserve"> odnosi </w:t>
      </w:r>
      <w:r w:rsidR="00BE029C">
        <w:rPr>
          <w:rFonts w:ascii="Times New Roman" w:hAnsi="Times New Roman" w:cs="Times New Roman"/>
        </w:rPr>
        <w:t xml:space="preserve">se </w:t>
      </w:r>
      <w:r w:rsidRPr="00041848">
        <w:rPr>
          <w:rFonts w:ascii="Times New Roman" w:hAnsi="Times New Roman" w:cs="Times New Roman"/>
        </w:rPr>
        <w:t>na rashode za zaposlene</w:t>
      </w:r>
      <w:r w:rsidR="00E0507F" w:rsidRPr="00041848">
        <w:rPr>
          <w:rFonts w:ascii="Times New Roman" w:hAnsi="Times New Roman" w:cs="Times New Roman"/>
        </w:rPr>
        <w:t xml:space="preserve"> u iznosu od </w:t>
      </w:r>
      <w:r w:rsidR="0016740A">
        <w:rPr>
          <w:rFonts w:ascii="Times New Roman" w:hAnsi="Times New Roman" w:cs="Times New Roman"/>
          <w:bCs/>
        </w:rPr>
        <w:t>6.041.563,21</w:t>
      </w:r>
      <w:r w:rsidR="0016740A">
        <w:rPr>
          <w:rFonts w:ascii="Times New Roman" w:hAnsi="Times New Roman" w:cs="Times New Roman"/>
          <w:bCs/>
        </w:rPr>
        <w:t xml:space="preserve"> eura </w:t>
      </w:r>
      <w:r w:rsidR="00E0507F" w:rsidRPr="00041848">
        <w:rPr>
          <w:rFonts w:ascii="Times New Roman" w:hAnsi="Times New Roman" w:cs="Times New Roman"/>
        </w:rPr>
        <w:t xml:space="preserve">što je za </w:t>
      </w:r>
      <w:r w:rsidR="0016740A">
        <w:rPr>
          <w:rFonts w:ascii="Times New Roman" w:hAnsi="Times New Roman" w:cs="Times New Roman"/>
        </w:rPr>
        <w:t>10,20</w:t>
      </w:r>
      <w:r w:rsidR="00E0507F" w:rsidRPr="00041848">
        <w:rPr>
          <w:rFonts w:ascii="Times New Roman" w:hAnsi="Times New Roman" w:cs="Times New Roman"/>
        </w:rPr>
        <w:t>% više u odnosu na 2022.godinu.</w:t>
      </w:r>
      <w:r w:rsidRPr="00041848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>Na ovaj ras</w:t>
      </w:r>
      <w:r w:rsidR="0016740A">
        <w:rPr>
          <w:rFonts w:ascii="Times New Roman" w:hAnsi="Times New Roman" w:cs="Times New Roman"/>
        </w:rPr>
        <w:t>t</w:t>
      </w:r>
      <w:r w:rsidR="00BE029C">
        <w:rPr>
          <w:rFonts w:ascii="Times New Roman" w:hAnsi="Times New Roman" w:cs="Times New Roman"/>
        </w:rPr>
        <w:t xml:space="preserve"> je utjecalo povećanje osnovice brutto plaće.</w:t>
      </w:r>
    </w:p>
    <w:p w:rsidR="00025E2B" w:rsidRDefault="00B00A06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Materijalni rashodi </w:t>
      </w:r>
      <w:r w:rsidR="00BE029C">
        <w:rPr>
          <w:rFonts w:ascii="Times New Roman" w:hAnsi="Times New Roman" w:cs="Times New Roman"/>
        </w:rPr>
        <w:t xml:space="preserve">na kontu 32 </w:t>
      </w:r>
      <w:r w:rsidR="00E0507F" w:rsidRPr="00041848">
        <w:rPr>
          <w:rFonts w:ascii="Times New Roman" w:hAnsi="Times New Roman" w:cs="Times New Roman"/>
        </w:rPr>
        <w:t xml:space="preserve">iznose </w:t>
      </w:r>
      <w:r w:rsidR="0016740A">
        <w:rPr>
          <w:rFonts w:ascii="Times New Roman" w:hAnsi="Times New Roman" w:cs="Times New Roman"/>
          <w:bCs/>
        </w:rPr>
        <w:t>1.476.966,22</w:t>
      </w:r>
      <w:r w:rsidR="0016740A">
        <w:rPr>
          <w:rFonts w:ascii="Times New Roman" w:hAnsi="Times New Roman" w:cs="Times New Roman"/>
          <w:bCs/>
        </w:rPr>
        <w:t xml:space="preserve"> eura </w:t>
      </w:r>
      <w:r w:rsidR="00BE029C">
        <w:rPr>
          <w:rFonts w:ascii="Times New Roman" w:hAnsi="Times New Roman" w:cs="Times New Roman"/>
        </w:rPr>
        <w:t>š</w:t>
      </w:r>
      <w:r w:rsidRPr="00041848">
        <w:rPr>
          <w:rFonts w:ascii="Times New Roman" w:hAnsi="Times New Roman" w:cs="Times New Roman"/>
        </w:rPr>
        <w:t xml:space="preserve">to je za </w:t>
      </w:r>
      <w:r w:rsidR="0016740A">
        <w:rPr>
          <w:rFonts w:ascii="Times New Roman" w:hAnsi="Times New Roman" w:cs="Times New Roman"/>
        </w:rPr>
        <w:t>2</w:t>
      </w:r>
      <w:r w:rsidRPr="00041848">
        <w:rPr>
          <w:rFonts w:ascii="Times New Roman" w:hAnsi="Times New Roman" w:cs="Times New Roman"/>
        </w:rPr>
        <w:t xml:space="preserve">% </w:t>
      </w:r>
      <w:r w:rsidR="0016740A">
        <w:rPr>
          <w:rFonts w:ascii="Times New Roman" w:hAnsi="Times New Roman" w:cs="Times New Roman"/>
        </w:rPr>
        <w:t>manje</w:t>
      </w:r>
      <w:r w:rsidRPr="00041848">
        <w:rPr>
          <w:rFonts w:ascii="Times New Roman" w:hAnsi="Times New Roman" w:cs="Times New Roman"/>
        </w:rPr>
        <w:t xml:space="preserve"> u odnosu na prethodnu godinu</w:t>
      </w:r>
      <w:r w:rsidR="00E0507F" w:rsidRPr="00041848">
        <w:rPr>
          <w:rFonts w:ascii="Times New Roman" w:hAnsi="Times New Roman" w:cs="Times New Roman"/>
        </w:rPr>
        <w:t>.</w:t>
      </w:r>
      <w:r w:rsidR="00BE029C">
        <w:rPr>
          <w:rFonts w:ascii="Times New Roman" w:hAnsi="Times New Roman" w:cs="Times New Roman"/>
        </w:rPr>
        <w:t xml:space="preserve"> </w:t>
      </w:r>
      <w:r w:rsidR="00FD75EB">
        <w:rPr>
          <w:rFonts w:ascii="Times New Roman" w:hAnsi="Times New Roman" w:cs="Times New Roman"/>
        </w:rPr>
        <w:t>R</w:t>
      </w:r>
      <w:r w:rsidR="00E0507F" w:rsidRPr="00041848">
        <w:rPr>
          <w:rFonts w:ascii="Times New Roman" w:hAnsi="Times New Roman" w:cs="Times New Roman"/>
        </w:rPr>
        <w:t xml:space="preserve">ashodi za materijal i energiju čine </w:t>
      </w:r>
      <w:r w:rsidR="00025E2B">
        <w:rPr>
          <w:rFonts w:ascii="Times New Roman" w:hAnsi="Times New Roman" w:cs="Times New Roman"/>
        </w:rPr>
        <w:t>23,8</w:t>
      </w:r>
      <w:r w:rsidR="00E0507F" w:rsidRPr="00041848">
        <w:rPr>
          <w:rFonts w:ascii="Times New Roman" w:hAnsi="Times New Roman" w:cs="Times New Roman"/>
        </w:rPr>
        <w:t xml:space="preserve">%, </w:t>
      </w:r>
      <w:r w:rsidR="00BE029C">
        <w:rPr>
          <w:rFonts w:ascii="Times New Roman" w:hAnsi="Times New Roman" w:cs="Times New Roman"/>
        </w:rPr>
        <w:t>od ukupnih materijalih rashoda, o</w:t>
      </w:r>
      <w:r w:rsidR="00E0507F" w:rsidRPr="00041848">
        <w:rPr>
          <w:rFonts w:ascii="Times New Roman" w:hAnsi="Times New Roman" w:cs="Times New Roman"/>
        </w:rPr>
        <w:t>dnosno</w:t>
      </w:r>
      <w:r w:rsidR="00BE029C">
        <w:rPr>
          <w:rFonts w:ascii="Times New Roman" w:hAnsi="Times New Roman" w:cs="Times New Roman"/>
        </w:rPr>
        <w:t xml:space="preserve"> </w:t>
      </w:r>
      <w:r w:rsidR="00025E2B">
        <w:rPr>
          <w:rFonts w:ascii="Times New Roman" w:hAnsi="Times New Roman" w:cs="Times New Roman"/>
        </w:rPr>
        <w:t>351.318,54 eura</w:t>
      </w:r>
      <w:r w:rsidR="00515B8C">
        <w:rPr>
          <w:rFonts w:ascii="Times New Roman" w:hAnsi="Times New Roman" w:cs="Times New Roman"/>
        </w:rPr>
        <w:t xml:space="preserve"> </w:t>
      </w:r>
      <w:r w:rsidR="00025E2B">
        <w:rPr>
          <w:rFonts w:ascii="Times New Roman" w:hAnsi="Times New Roman" w:cs="Times New Roman"/>
        </w:rPr>
        <w:t>.</w:t>
      </w:r>
    </w:p>
    <w:p w:rsidR="001014C9" w:rsidRPr="00041848" w:rsidRDefault="00E0507F" w:rsidP="00041848">
      <w:pPr>
        <w:jc w:val="both"/>
        <w:rPr>
          <w:rFonts w:ascii="Times New Roman" w:hAnsi="Times New Roman" w:cs="Times New Roman"/>
          <w:color w:val="000000"/>
        </w:rPr>
      </w:pPr>
      <w:r w:rsidRPr="00041848">
        <w:rPr>
          <w:rFonts w:ascii="Times New Roman" w:hAnsi="Times New Roman" w:cs="Times New Roman"/>
        </w:rPr>
        <w:lastRenderedPageBreak/>
        <w:t xml:space="preserve">Rashodi za usluge </w:t>
      </w:r>
      <w:r w:rsidR="00025E2B">
        <w:rPr>
          <w:rFonts w:ascii="Times New Roman" w:hAnsi="Times New Roman" w:cs="Times New Roman"/>
        </w:rPr>
        <w:t xml:space="preserve">iznose 946.688,03 eura i </w:t>
      </w:r>
      <w:r w:rsidRPr="00041848">
        <w:rPr>
          <w:rFonts w:ascii="Times New Roman" w:hAnsi="Times New Roman" w:cs="Times New Roman"/>
        </w:rPr>
        <w:t xml:space="preserve">čine </w:t>
      </w:r>
      <w:r w:rsidR="00025E2B">
        <w:rPr>
          <w:rFonts w:ascii="Times New Roman" w:hAnsi="Times New Roman" w:cs="Times New Roman"/>
        </w:rPr>
        <w:t>64,09</w:t>
      </w:r>
      <w:r w:rsidRPr="00041848">
        <w:rPr>
          <w:rFonts w:ascii="Times New Roman" w:hAnsi="Times New Roman" w:cs="Times New Roman"/>
        </w:rPr>
        <w:t>% a najveći udio imaju troškovi vanjske suradnje</w:t>
      </w:r>
      <w:r w:rsidR="00FD75EB">
        <w:rPr>
          <w:rFonts w:ascii="Times New Roman" w:hAnsi="Times New Roman" w:cs="Times New Roman"/>
        </w:rPr>
        <w:t xml:space="preserve"> i autorskih ugovora </w:t>
      </w:r>
      <w:r w:rsidRPr="00041848">
        <w:rPr>
          <w:rFonts w:ascii="Times New Roman" w:hAnsi="Times New Roman" w:cs="Times New Roman"/>
        </w:rPr>
        <w:t xml:space="preserve"> u iznosu od </w:t>
      </w:r>
      <w:r w:rsidR="00025E2B">
        <w:rPr>
          <w:rFonts w:ascii="Times New Roman" w:hAnsi="Times New Roman" w:cs="Times New Roman"/>
          <w:color w:val="000000"/>
        </w:rPr>
        <w:t>587.230,86</w:t>
      </w:r>
      <w:r w:rsidRPr="00041848">
        <w:rPr>
          <w:rFonts w:ascii="Times New Roman" w:hAnsi="Times New Roman" w:cs="Times New Roman"/>
          <w:color w:val="000000"/>
        </w:rPr>
        <w:t xml:space="preserve"> </w:t>
      </w:r>
      <w:r w:rsidR="00025E2B">
        <w:rPr>
          <w:rFonts w:ascii="Times New Roman" w:hAnsi="Times New Roman" w:cs="Times New Roman"/>
          <w:color w:val="000000"/>
        </w:rPr>
        <w:t>eura</w:t>
      </w:r>
      <w:r w:rsidRPr="00041848">
        <w:rPr>
          <w:rFonts w:ascii="Times New Roman" w:hAnsi="Times New Roman" w:cs="Times New Roman"/>
          <w:color w:val="000000"/>
        </w:rPr>
        <w:t xml:space="preserve"> te usluge održavanje zgrade u iznosu od </w:t>
      </w:r>
      <w:r w:rsidR="00025E2B">
        <w:rPr>
          <w:rFonts w:ascii="Times New Roman" w:hAnsi="Times New Roman" w:cs="Times New Roman"/>
          <w:color w:val="000000"/>
        </w:rPr>
        <w:t>216.271,21 eur.</w:t>
      </w:r>
    </w:p>
    <w:p w:rsidR="001014C9" w:rsidRPr="00041848" w:rsidRDefault="001014C9" w:rsidP="00041848">
      <w:pPr>
        <w:jc w:val="both"/>
        <w:rPr>
          <w:rFonts w:ascii="Times New Roman" w:hAnsi="Times New Roman" w:cs="Times New Roman"/>
          <w:color w:val="000000"/>
        </w:rPr>
      </w:pPr>
    </w:p>
    <w:p w:rsidR="001014C9" w:rsidRPr="00041848" w:rsidRDefault="001014C9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Rashodi za nabavu nefinancijske imovine </w:t>
      </w:r>
    </w:p>
    <w:p w:rsidR="001014C9" w:rsidRPr="00041848" w:rsidRDefault="001014C9" w:rsidP="00041848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1014C9" w:rsidRPr="00041848" w:rsidTr="001014C9">
        <w:trPr>
          <w:trHeight w:val="452"/>
        </w:trPr>
        <w:tc>
          <w:tcPr>
            <w:tcW w:w="2827" w:type="dxa"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014C9" w:rsidRPr="00041848" w:rsidTr="001014C9">
        <w:trPr>
          <w:trHeight w:val="452"/>
        </w:trPr>
        <w:tc>
          <w:tcPr>
            <w:tcW w:w="2827" w:type="dxa"/>
            <w:vAlign w:val="center"/>
            <w:hideMark/>
          </w:tcPr>
          <w:p w:rsidR="001014C9" w:rsidRPr="00041848" w:rsidRDefault="001014C9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nabavu nefinancijske imovine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591.165,31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46.863,89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1014C9" w:rsidRPr="00041848" w:rsidTr="001014C9">
        <w:trPr>
          <w:trHeight w:val="453"/>
        </w:trPr>
        <w:tc>
          <w:tcPr>
            <w:tcW w:w="2827" w:type="dxa"/>
            <w:vAlign w:val="center"/>
            <w:hideMark/>
          </w:tcPr>
          <w:p w:rsidR="001014C9" w:rsidRPr="00041848" w:rsidRDefault="001014C9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Ostala prava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564.092,04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24.397,30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1014C9" w:rsidRPr="00041848" w:rsidTr="001014C9">
        <w:trPr>
          <w:trHeight w:val="453"/>
        </w:trPr>
        <w:tc>
          <w:tcPr>
            <w:tcW w:w="2827" w:type="dxa"/>
            <w:vAlign w:val="center"/>
            <w:hideMark/>
          </w:tcPr>
          <w:p w:rsidR="001014C9" w:rsidRPr="00041848" w:rsidRDefault="001014C9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nabavu proizvedene dugotrajne imovine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27.073,27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22.466,59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025E2B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83,00</w:t>
            </w:r>
          </w:p>
        </w:tc>
      </w:tr>
    </w:tbl>
    <w:p w:rsidR="001014C9" w:rsidRPr="00041848" w:rsidRDefault="001014C9" w:rsidP="00041848">
      <w:pPr>
        <w:jc w:val="both"/>
        <w:rPr>
          <w:rFonts w:ascii="Times New Roman" w:hAnsi="Times New Roman" w:cs="Times New Roman"/>
        </w:rPr>
      </w:pPr>
    </w:p>
    <w:p w:rsidR="00B00A06" w:rsidRDefault="00B00A06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Rashodi za nabavu nefinancijske imovine iznose </w:t>
      </w:r>
      <w:r w:rsidR="001014C9" w:rsidRPr="00041848">
        <w:rPr>
          <w:rFonts w:ascii="Times New Roman" w:hAnsi="Times New Roman" w:cs="Times New Roman"/>
        </w:rPr>
        <w:t xml:space="preserve">ukupno </w:t>
      </w:r>
      <w:r w:rsidR="00025E2B">
        <w:rPr>
          <w:rFonts w:ascii="Times New Roman" w:hAnsi="Times New Roman" w:cs="Times New Roman"/>
          <w:bCs/>
        </w:rPr>
        <w:t>46.863,89</w:t>
      </w:r>
      <w:r w:rsidR="00025E2B">
        <w:rPr>
          <w:rFonts w:ascii="Times New Roman" w:hAnsi="Times New Roman" w:cs="Times New Roman"/>
          <w:bCs/>
        </w:rPr>
        <w:t xml:space="preserve"> eura  a odnose se</w:t>
      </w:r>
      <w:r w:rsidR="0022038F">
        <w:rPr>
          <w:rFonts w:ascii="Times New Roman" w:hAnsi="Times New Roman" w:cs="Times New Roman"/>
          <w:bCs/>
        </w:rPr>
        <w:t xml:space="preserve"> </w:t>
      </w:r>
      <w:r w:rsidR="00515B8C">
        <w:rPr>
          <w:rFonts w:ascii="Times New Roman" w:hAnsi="Times New Roman" w:cs="Times New Roman"/>
        </w:rPr>
        <w:t xml:space="preserve">na </w:t>
      </w:r>
      <w:r w:rsidR="001014C9" w:rsidRPr="00041848">
        <w:rPr>
          <w:rFonts w:ascii="Times New Roman" w:hAnsi="Times New Roman" w:cs="Times New Roman"/>
        </w:rPr>
        <w:t>ulaganje u dugotrajnu imovinu</w:t>
      </w:r>
      <w:r w:rsidR="00515B8C">
        <w:rPr>
          <w:rFonts w:ascii="Times New Roman" w:hAnsi="Times New Roman" w:cs="Times New Roman"/>
        </w:rPr>
        <w:t xml:space="preserve"> kao što su glazbeni instrumenti, kompjuteri te sitan inventar</w:t>
      </w:r>
      <w:r w:rsidR="001014C9" w:rsidRPr="00041848">
        <w:rPr>
          <w:rFonts w:ascii="Times New Roman" w:hAnsi="Times New Roman" w:cs="Times New Roman"/>
        </w:rPr>
        <w:t xml:space="preserve"> </w:t>
      </w:r>
      <w:r w:rsidR="0022038F">
        <w:rPr>
          <w:rFonts w:ascii="Times New Roman" w:hAnsi="Times New Roman" w:cs="Times New Roman"/>
        </w:rPr>
        <w:t xml:space="preserve">u </w:t>
      </w:r>
      <w:r w:rsidR="001014C9" w:rsidRPr="00041848">
        <w:rPr>
          <w:rFonts w:ascii="Times New Roman" w:hAnsi="Times New Roman" w:cs="Times New Roman"/>
        </w:rPr>
        <w:t>iznos</w:t>
      </w:r>
      <w:r w:rsidR="0022038F">
        <w:rPr>
          <w:rFonts w:ascii="Times New Roman" w:hAnsi="Times New Roman" w:cs="Times New Roman"/>
        </w:rPr>
        <w:t>u</w:t>
      </w:r>
      <w:r w:rsidR="001014C9" w:rsidRPr="00041848">
        <w:rPr>
          <w:rFonts w:ascii="Times New Roman" w:hAnsi="Times New Roman" w:cs="Times New Roman"/>
        </w:rPr>
        <w:t xml:space="preserve"> </w:t>
      </w:r>
      <w:r w:rsidR="0022038F">
        <w:rPr>
          <w:rFonts w:ascii="Times New Roman" w:hAnsi="Times New Roman" w:cs="Times New Roman"/>
        </w:rPr>
        <w:t>22.466,59</w:t>
      </w:r>
      <w:r w:rsidR="001014C9" w:rsidRPr="00041848">
        <w:rPr>
          <w:rFonts w:ascii="Times New Roman" w:hAnsi="Times New Roman" w:cs="Times New Roman"/>
        </w:rPr>
        <w:t xml:space="preserve"> </w:t>
      </w:r>
      <w:r w:rsidR="0022038F">
        <w:rPr>
          <w:rFonts w:ascii="Times New Roman" w:hAnsi="Times New Roman" w:cs="Times New Roman"/>
        </w:rPr>
        <w:t xml:space="preserve">eura. </w:t>
      </w:r>
      <w:r w:rsidR="00515B8C">
        <w:rPr>
          <w:rFonts w:ascii="Times New Roman" w:hAnsi="Times New Roman" w:cs="Times New Roman"/>
        </w:rPr>
        <w:t>Značajan dio troška za nefinacijsku imovinu čine</w:t>
      </w:r>
      <w:r w:rsidR="001014C9" w:rsidRPr="00041848">
        <w:rPr>
          <w:rFonts w:ascii="Times New Roman" w:hAnsi="Times New Roman" w:cs="Times New Roman"/>
        </w:rPr>
        <w:t xml:space="preserve"> troškovi odvjetnika u sporu sa </w:t>
      </w:r>
      <w:r w:rsidR="00515B8C">
        <w:rPr>
          <w:rFonts w:ascii="Times New Roman" w:hAnsi="Times New Roman" w:cs="Times New Roman"/>
        </w:rPr>
        <w:t>N</w:t>
      </w:r>
      <w:r w:rsidR="001014C9" w:rsidRPr="00041848">
        <w:rPr>
          <w:rFonts w:ascii="Times New Roman" w:hAnsi="Times New Roman" w:cs="Times New Roman"/>
        </w:rPr>
        <w:t xml:space="preserve">exe gradnjom </w:t>
      </w:r>
      <w:r w:rsidR="00515B8C">
        <w:rPr>
          <w:rFonts w:ascii="Times New Roman" w:hAnsi="Times New Roman" w:cs="Times New Roman"/>
        </w:rPr>
        <w:t xml:space="preserve">d.o.o.  </w:t>
      </w:r>
      <w:r w:rsidR="0022038F">
        <w:rPr>
          <w:rFonts w:ascii="Times New Roman" w:hAnsi="Times New Roman" w:cs="Times New Roman"/>
        </w:rPr>
        <w:t xml:space="preserve"> </w:t>
      </w:r>
      <w:r w:rsidR="00FD75EB">
        <w:rPr>
          <w:rFonts w:ascii="Times New Roman" w:hAnsi="Times New Roman" w:cs="Times New Roman"/>
        </w:rPr>
        <w:t xml:space="preserve">u iznosu od </w:t>
      </w:r>
      <w:r w:rsidR="0022038F">
        <w:rPr>
          <w:rFonts w:ascii="Times New Roman" w:hAnsi="Times New Roman" w:cs="Times New Roman"/>
        </w:rPr>
        <w:t>24.397,30 eura.</w:t>
      </w:r>
    </w:p>
    <w:p w:rsidR="00AA01A2" w:rsidRDefault="00AA01A2" w:rsidP="00041848">
      <w:pPr>
        <w:jc w:val="both"/>
        <w:rPr>
          <w:rFonts w:ascii="Times New Roman" w:hAnsi="Times New Roman" w:cs="Times New Roman"/>
        </w:rPr>
      </w:pPr>
    </w:p>
    <w:p w:rsidR="00AA01A2" w:rsidRPr="00515B8C" w:rsidRDefault="00AA01A2" w:rsidP="00515B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5B8C">
        <w:rPr>
          <w:rFonts w:ascii="Times New Roman" w:hAnsi="Times New Roman" w:cs="Times New Roman"/>
        </w:rPr>
        <w:t>Rezultat poslovanja na kraju razdoblja:</w:t>
      </w:r>
    </w:p>
    <w:p w:rsidR="00AA01A2" w:rsidRPr="00041848" w:rsidRDefault="00AA01A2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2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3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AA01A2" w:rsidRPr="00041848" w:rsidTr="0047418A">
        <w:trPr>
          <w:trHeight w:val="452"/>
        </w:trPr>
        <w:tc>
          <w:tcPr>
            <w:tcW w:w="2827" w:type="dxa"/>
            <w:hideMark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 xml:space="preserve">Manjak prihoda i primitaka - preneseni </w:t>
            </w:r>
          </w:p>
        </w:tc>
        <w:tc>
          <w:tcPr>
            <w:tcW w:w="1370" w:type="dxa"/>
            <w:hideMark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>9222-9221</w:t>
            </w:r>
          </w:p>
        </w:tc>
        <w:tc>
          <w:tcPr>
            <w:tcW w:w="1673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516.261,40</w:t>
            </w:r>
          </w:p>
        </w:tc>
        <w:tc>
          <w:tcPr>
            <w:tcW w:w="1826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1.299.275,00</w:t>
            </w:r>
          </w:p>
        </w:tc>
        <w:tc>
          <w:tcPr>
            <w:tcW w:w="1408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251,7</w:t>
            </w:r>
          </w:p>
        </w:tc>
      </w:tr>
      <w:tr w:rsidR="00AA01A2" w:rsidRPr="00041848" w:rsidTr="00AA01A2">
        <w:trPr>
          <w:trHeight w:val="453"/>
        </w:trPr>
        <w:tc>
          <w:tcPr>
            <w:tcW w:w="2827" w:type="dxa"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>Manjak prihoda i primitaka u izvještajnom razdoblju</w:t>
            </w:r>
          </w:p>
        </w:tc>
        <w:tc>
          <w:tcPr>
            <w:tcW w:w="1370" w:type="dxa"/>
            <w:hideMark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>Y005</w:t>
            </w:r>
          </w:p>
        </w:tc>
        <w:tc>
          <w:tcPr>
            <w:tcW w:w="1673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782.380,10</w:t>
            </w:r>
          </w:p>
        </w:tc>
        <w:tc>
          <w:tcPr>
            <w:tcW w:w="1826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203.205,15</w:t>
            </w:r>
          </w:p>
        </w:tc>
        <w:tc>
          <w:tcPr>
            <w:tcW w:w="1408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AA01A2" w:rsidRPr="00041848" w:rsidTr="00AE0968">
        <w:trPr>
          <w:trHeight w:val="453"/>
        </w:trPr>
        <w:tc>
          <w:tcPr>
            <w:tcW w:w="2827" w:type="dxa"/>
            <w:hideMark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>Manjak prihoda i primitaka za pokriće u sljedećem razdoblju</w:t>
            </w:r>
          </w:p>
        </w:tc>
        <w:tc>
          <w:tcPr>
            <w:tcW w:w="1370" w:type="dxa"/>
            <w:hideMark/>
          </w:tcPr>
          <w:p w:rsidR="00AA01A2" w:rsidRPr="0022038F" w:rsidRDefault="00AA01A2" w:rsidP="00AA01A2">
            <w:pPr>
              <w:rPr>
                <w:rFonts w:ascii="Times New Roman" w:hAnsi="Times New Roman" w:cs="Times New Roman"/>
              </w:rPr>
            </w:pPr>
            <w:r w:rsidRPr="0022038F">
              <w:rPr>
                <w:rFonts w:ascii="Times New Roman" w:hAnsi="Times New Roman" w:cs="Times New Roman"/>
              </w:rPr>
              <w:t>Y006</w:t>
            </w:r>
          </w:p>
        </w:tc>
        <w:tc>
          <w:tcPr>
            <w:tcW w:w="1673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1.298.641,5</w:t>
            </w:r>
          </w:p>
        </w:tc>
        <w:tc>
          <w:tcPr>
            <w:tcW w:w="1826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1.502.480,15</w:t>
            </w:r>
          </w:p>
        </w:tc>
        <w:tc>
          <w:tcPr>
            <w:tcW w:w="1408" w:type="dxa"/>
            <w:noWrap/>
            <w:hideMark/>
          </w:tcPr>
          <w:p w:rsidR="00AA01A2" w:rsidRPr="0022038F" w:rsidRDefault="0022038F" w:rsidP="00A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</w:tr>
    </w:tbl>
    <w:p w:rsidR="00B00A06" w:rsidRDefault="00B00A06" w:rsidP="00041848">
      <w:pPr>
        <w:jc w:val="both"/>
        <w:rPr>
          <w:rFonts w:ascii="Times New Roman" w:hAnsi="Times New Roman" w:cs="Times New Roman"/>
        </w:rPr>
      </w:pPr>
    </w:p>
    <w:p w:rsidR="00515B8C" w:rsidRPr="00041848" w:rsidRDefault="00515B8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Kao što je prikazanu u tablici ukupan manjak prihoda i primitaka </w:t>
      </w:r>
      <w:r w:rsidR="0022038F">
        <w:rPr>
          <w:rFonts w:ascii="Times New Roman" w:hAnsi="Times New Roman" w:cs="Times New Roman"/>
        </w:rPr>
        <w:t xml:space="preserve">u razdoblju od 01.01. do </w:t>
      </w:r>
      <w:r>
        <w:rPr>
          <w:rFonts w:ascii="Times New Roman" w:hAnsi="Times New Roman" w:cs="Times New Roman"/>
        </w:rPr>
        <w:t>31.12.202</w:t>
      </w:r>
      <w:r w:rsidR="002203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D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godine iznosi </w:t>
      </w:r>
      <w:r w:rsidR="0022038F">
        <w:rPr>
          <w:rFonts w:ascii="Times New Roman" w:hAnsi="Times New Roman" w:cs="Times New Roman"/>
        </w:rPr>
        <w:t>203.205,15 eura.</w:t>
      </w:r>
    </w:p>
    <w:p w:rsidR="00321903" w:rsidRDefault="00321903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22038F" w:rsidRDefault="0022038F" w:rsidP="00041848">
      <w:pPr>
        <w:jc w:val="both"/>
        <w:rPr>
          <w:rFonts w:ascii="Times New Roman" w:hAnsi="Times New Roman" w:cs="Times New Roman"/>
        </w:rPr>
      </w:pPr>
    </w:p>
    <w:p w:rsidR="0022038F" w:rsidRDefault="0022038F" w:rsidP="00041848">
      <w:pPr>
        <w:jc w:val="both"/>
        <w:rPr>
          <w:rFonts w:ascii="Times New Roman" w:hAnsi="Times New Roman" w:cs="Times New Roman"/>
        </w:rPr>
      </w:pPr>
    </w:p>
    <w:p w:rsidR="00515B8C" w:rsidRPr="00041848" w:rsidRDefault="00515B8C" w:rsidP="00041848">
      <w:pPr>
        <w:jc w:val="both"/>
        <w:rPr>
          <w:rFonts w:ascii="Times New Roman" w:hAnsi="Times New Roman" w:cs="Times New Roman"/>
        </w:rPr>
      </w:pPr>
    </w:p>
    <w:p w:rsidR="00321903" w:rsidRPr="00041848" w:rsidRDefault="00321903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BIL</w:t>
      </w:r>
    </w:p>
    <w:p w:rsidR="00A921BC" w:rsidRPr="00041848" w:rsidRDefault="00A921BC" w:rsidP="00041848">
      <w:pPr>
        <w:ind w:left="360"/>
        <w:jc w:val="both"/>
        <w:rPr>
          <w:rFonts w:ascii="Times New Roman" w:hAnsi="Times New Roman" w:cs="Times New Roman"/>
          <w:b/>
        </w:rPr>
      </w:pPr>
    </w:p>
    <w:p w:rsidR="00321903" w:rsidRPr="00041848" w:rsidRDefault="00321903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Aktiva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2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3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321903" w:rsidRPr="00041848" w:rsidTr="000F3F1A">
        <w:trPr>
          <w:trHeight w:val="452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Nefinancijska 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24.983.644,09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24.874.518,17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321903" w:rsidRPr="00041848" w:rsidTr="00333149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Financijska 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1.836.408,72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1.868.996,03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321903" w:rsidRPr="00041848" w:rsidTr="006E4A68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Aktiva ukupno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3" w:type="dxa"/>
            <w:noWrap/>
            <w:vAlign w:val="center"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26.820.052,81</w:t>
            </w:r>
          </w:p>
        </w:tc>
        <w:tc>
          <w:tcPr>
            <w:tcW w:w="1826" w:type="dxa"/>
            <w:noWrap/>
            <w:vAlign w:val="center"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26.743.514,20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101,8</w:t>
            </w:r>
          </w:p>
        </w:tc>
      </w:tr>
    </w:tbl>
    <w:p w:rsidR="00515B8C" w:rsidRDefault="00515B8C" w:rsidP="00515B8C">
      <w:pPr>
        <w:rPr>
          <w:rFonts w:ascii="Times New Roman" w:hAnsi="Times New Roman" w:cs="Times New Roman"/>
        </w:rPr>
      </w:pPr>
    </w:p>
    <w:p w:rsidR="00321903" w:rsidRPr="00041848" w:rsidRDefault="00515B8C" w:rsidP="00515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Ukupnu imovina </w:t>
      </w:r>
      <w:r w:rsidR="004F24D6">
        <w:rPr>
          <w:rFonts w:ascii="Times New Roman" w:hAnsi="Times New Roman" w:cs="Times New Roman"/>
        </w:rPr>
        <w:t>31.12.202</w:t>
      </w:r>
      <w:r w:rsidR="0022038F">
        <w:rPr>
          <w:rFonts w:ascii="Times New Roman" w:hAnsi="Times New Roman" w:cs="Times New Roman"/>
        </w:rPr>
        <w:t>3</w:t>
      </w:r>
      <w:r w:rsidR="004F24D6">
        <w:rPr>
          <w:rFonts w:ascii="Times New Roman" w:hAnsi="Times New Roman" w:cs="Times New Roman"/>
        </w:rPr>
        <w:t xml:space="preserve">.godine </w:t>
      </w:r>
      <w:r>
        <w:rPr>
          <w:rFonts w:ascii="Times New Roman" w:hAnsi="Times New Roman" w:cs="Times New Roman"/>
        </w:rPr>
        <w:t xml:space="preserve">iznosi </w:t>
      </w:r>
      <w:r w:rsidR="0022038F">
        <w:rPr>
          <w:rFonts w:ascii="Times New Roman" w:hAnsi="Times New Roman" w:cs="Times New Roman"/>
          <w:bCs/>
        </w:rPr>
        <w:t>26.743.514,20</w:t>
      </w:r>
      <w:r w:rsidR="0022038F">
        <w:rPr>
          <w:rFonts w:ascii="Times New Roman" w:hAnsi="Times New Roman" w:cs="Times New Roman"/>
          <w:bCs/>
        </w:rPr>
        <w:t xml:space="preserve"> eura </w:t>
      </w:r>
      <w:r>
        <w:rPr>
          <w:rFonts w:ascii="Times New Roman" w:hAnsi="Times New Roman" w:cs="Times New Roman"/>
        </w:rPr>
        <w:t xml:space="preserve">od čega osnovna srestva čine </w:t>
      </w:r>
      <w:r w:rsidR="0022038F">
        <w:rPr>
          <w:rFonts w:ascii="Times New Roman" w:hAnsi="Times New Roman" w:cs="Times New Roman"/>
          <w:bCs/>
        </w:rPr>
        <w:t>24.874.518,17</w:t>
      </w:r>
      <w:r w:rsidR="0022038F">
        <w:rPr>
          <w:rFonts w:ascii="Times New Roman" w:hAnsi="Times New Roman" w:cs="Times New Roman"/>
          <w:bCs/>
        </w:rPr>
        <w:t xml:space="preserve"> eura</w:t>
      </w:r>
      <w:r>
        <w:rPr>
          <w:rFonts w:ascii="Times New Roman" w:hAnsi="Times New Roman" w:cs="Times New Roman"/>
        </w:rPr>
        <w:t xml:space="preserve">, a financijska imovina </w:t>
      </w:r>
      <w:r w:rsidR="0022038F">
        <w:rPr>
          <w:rFonts w:ascii="Times New Roman" w:hAnsi="Times New Roman" w:cs="Times New Roman"/>
          <w:bCs/>
        </w:rPr>
        <w:t>1.868.996,03</w:t>
      </w:r>
      <w:r w:rsidR="0022038F">
        <w:rPr>
          <w:rFonts w:ascii="Times New Roman" w:hAnsi="Times New Roman" w:cs="Times New Roman"/>
          <w:bCs/>
        </w:rPr>
        <w:t xml:space="preserve"> eura.</w:t>
      </w:r>
    </w:p>
    <w:p w:rsidR="00321903" w:rsidRPr="00041848" w:rsidRDefault="00321903" w:rsidP="00515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Pasiva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 i izvori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2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</w:t>
            </w:r>
            <w:r w:rsidR="0022038F">
              <w:rPr>
                <w:rFonts w:ascii="Times New Roman" w:hAnsi="Times New Roman" w:cs="Times New Roman"/>
                <w:bCs/>
              </w:rPr>
              <w:t>3</w:t>
            </w:r>
            <w:r w:rsidRPr="000418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321903" w:rsidRPr="00041848" w:rsidTr="000D271B">
        <w:trPr>
          <w:trHeight w:val="452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1.655.837,76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22038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1.799.557,74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</w:tr>
      <w:tr w:rsidR="00321903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Vlastiti izvori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25.164.215.,05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24.943.956,46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99,10</w:t>
            </w:r>
          </w:p>
        </w:tc>
      </w:tr>
      <w:tr w:rsidR="00321903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Pasiva ukupno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3" w:type="dxa"/>
            <w:noWrap/>
            <w:vAlign w:val="center"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26.820.052,81</w:t>
            </w:r>
          </w:p>
        </w:tc>
        <w:tc>
          <w:tcPr>
            <w:tcW w:w="1826" w:type="dxa"/>
            <w:noWrap/>
            <w:vAlign w:val="center"/>
          </w:tcPr>
          <w:p w:rsidR="00321903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26.743.514,20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  <w:p w:rsidR="00B2390F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903" w:rsidRDefault="00321903" w:rsidP="00041848">
      <w:pPr>
        <w:jc w:val="center"/>
        <w:rPr>
          <w:rFonts w:ascii="Times New Roman" w:hAnsi="Times New Roman" w:cs="Times New Roman"/>
        </w:rPr>
      </w:pPr>
    </w:p>
    <w:p w:rsidR="004F24D6" w:rsidRDefault="004F24D6" w:rsidP="004F24D6">
      <w:pPr>
        <w:rPr>
          <w:rFonts w:ascii="Times New Roman" w:hAnsi="Times New Roman" w:cs="Times New Roman"/>
        </w:rPr>
      </w:pPr>
    </w:p>
    <w:p w:rsidR="004F24D6" w:rsidRDefault="004F24D6" w:rsidP="004F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obveze na 31.12.2022.godine iznose</w:t>
      </w:r>
      <w:r w:rsidR="00B2390F">
        <w:rPr>
          <w:rFonts w:ascii="Times New Roman" w:hAnsi="Times New Roman" w:cs="Times New Roman"/>
        </w:rPr>
        <w:t xml:space="preserve"> </w:t>
      </w:r>
      <w:r w:rsidR="00B2390F">
        <w:rPr>
          <w:rFonts w:ascii="Times New Roman" w:hAnsi="Times New Roman" w:cs="Times New Roman"/>
          <w:bCs/>
        </w:rPr>
        <w:t>1.799.557,74</w:t>
      </w:r>
      <w:r w:rsidR="00B2390F">
        <w:rPr>
          <w:rFonts w:ascii="Times New Roman" w:hAnsi="Times New Roman" w:cs="Times New Roman"/>
          <w:bCs/>
        </w:rPr>
        <w:t xml:space="preserve"> eura </w:t>
      </w:r>
      <w:r>
        <w:rPr>
          <w:rFonts w:ascii="Times New Roman" w:hAnsi="Times New Roman" w:cs="Times New Roman"/>
        </w:rPr>
        <w:t xml:space="preserve">a vlastiti izvori </w:t>
      </w:r>
      <w:r w:rsidR="00B2390F">
        <w:rPr>
          <w:rFonts w:ascii="Times New Roman" w:hAnsi="Times New Roman" w:cs="Times New Roman"/>
          <w:bCs/>
        </w:rPr>
        <w:t>24.943.956,46</w:t>
      </w:r>
      <w:r w:rsidR="00B2390F">
        <w:rPr>
          <w:rFonts w:ascii="Times New Roman" w:hAnsi="Times New Roman" w:cs="Times New Roman"/>
          <w:bCs/>
        </w:rPr>
        <w:t xml:space="preserve"> eura.</w:t>
      </w:r>
    </w:p>
    <w:p w:rsidR="004F24D6" w:rsidRPr="00041848" w:rsidRDefault="004F24D6" w:rsidP="004F24D6">
      <w:pPr>
        <w:rPr>
          <w:rFonts w:ascii="Times New Roman" w:hAnsi="Times New Roman" w:cs="Times New Roman"/>
        </w:rPr>
      </w:pPr>
    </w:p>
    <w:p w:rsidR="00321903" w:rsidRPr="00041848" w:rsidRDefault="001C14DD" w:rsidP="004F24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Izvanbilančni zapisi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1C14DD" w:rsidRPr="00041848" w:rsidTr="000D271B">
        <w:trPr>
          <w:trHeight w:val="452"/>
        </w:trPr>
        <w:tc>
          <w:tcPr>
            <w:tcW w:w="2827" w:type="dxa"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 i izvori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C14DD" w:rsidRPr="00041848" w:rsidTr="000D271B">
        <w:trPr>
          <w:trHeight w:val="452"/>
        </w:trPr>
        <w:tc>
          <w:tcPr>
            <w:tcW w:w="2827" w:type="dxa"/>
            <w:vAlign w:val="center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Izvanbilančni zapisi aktiva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915451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2.720.290,87</w:t>
            </w: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C14DD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2.720.307,99</w:t>
            </w:r>
          </w:p>
        </w:tc>
        <w:tc>
          <w:tcPr>
            <w:tcW w:w="1408" w:type="dxa"/>
            <w:noWrap/>
            <w:vAlign w:val="center"/>
            <w:hideMark/>
          </w:tcPr>
          <w:p w:rsidR="001C14DD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14DD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Izvanbilančni zapisi pasiva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B2390F" w:rsidRPr="00041848" w:rsidRDefault="00B2390F" w:rsidP="00B2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2.720.290,87</w:t>
            </w: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C14DD" w:rsidRPr="00041848" w:rsidRDefault="00B2390F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2.720.307,99</w:t>
            </w:r>
          </w:p>
        </w:tc>
        <w:tc>
          <w:tcPr>
            <w:tcW w:w="1408" w:type="dxa"/>
            <w:noWrap/>
            <w:vAlign w:val="center"/>
            <w:hideMark/>
          </w:tcPr>
          <w:p w:rsidR="001C14DD" w:rsidRPr="00041848" w:rsidRDefault="00B2390F" w:rsidP="0004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15451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14DD" w:rsidRPr="00041848" w:rsidRDefault="001C14DD" w:rsidP="00041848">
      <w:pPr>
        <w:jc w:val="center"/>
        <w:rPr>
          <w:rFonts w:ascii="Times New Roman" w:hAnsi="Times New Roman" w:cs="Times New Roman"/>
        </w:rPr>
      </w:pPr>
    </w:p>
    <w:p w:rsidR="00915451" w:rsidRPr="00041848" w:rsidRDefault="00915451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poziciji izvanbilančne evidencije konto 991 evidentirani su sudski sporovi u tijeku, koji se vode s izvođačem radova oko potraživanja vezanih za izgradnju i nadzor na novoj zgradi Muzičke  akademije.</w:t>
      </w:r>
    </w:p>
    <w:p w:rsidR="00A921BC" w:rsidRDefault="00A921BC" w:rsidP="00041848">
      <w:pPr>
        <w:jc w:val="both"/>
        <w:rPr>
          <w:rFonts w:ascii="Times New Roman" w:hAnsi="Times New Roman" w:cs="Times New Roman"/>
        </w:rPr>
      </w:pPr>
    </w:p>
    <w:p w:rsidR="004F24D6" w:rsidRDefault="004F24D6" w:rsidP="00041848">
      <w:pPr>
        <w:jc w:val="both"/>
        <w:rPr>
          <w:rFonts w:ascii="Times New Roman" w:hAnsi="Times New Roman" w:cs="Times New Roman"/>
        </w:rPr>
      </w:pPr>
    </w:p>
    <w:p w:rsidR="004F24D6" w:rsidRDefault="004F24D6" w:rsidP="00041848">
      <w:pPr>
        <w:jc w:val="both"/>
        <w:rPr>
          <w:rFonts w:ascii="Times New Roman" w:hAnsi="Times New Roman" w:cs="Times New Roman"/>
        </w:rPr>
      </w:pPr>
    </w:p>
    <w:p w:rsidR="00B2390F" w:rsidRDefault="00B2390F" w:rsidP="00041848">
      <w:pPr>
        <w:jc w:val="both"/>
        <w:rPr>
          <w:rFonts w:ascii="Times New Roman" w:hAnsi="Times New Roman" w:cs="Times New Roman"/>
        </w:rPr>
      </w:pPr>
    </w:p>
    <w:p w:rsidR="00B2390F" w:rsidRPr="00041848" w:rsidRDefault="00B2390F" w:rsidP="00041848">
      <w:pPr>
        <w:jc w:val="both"/>
        <w:rPr>
          <w:rFonts w:ascii="Times New Roman" w:hAnsi="Times New Roman" w:cs="Times New Roman"/>
        </w:rPr>
      </w:pPr>
    </w:p>
    <w:p w:rsidR="00A921BC" w:rsidRPr="00041848" w:rsidRDefault="00A921BC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Obveze</w:t>
      </w:r>
    </w:p>
    <w:p w:rsidR="00561BB5" w:rsidRPr="00041848" w:rsidRDefault="00561BB5" w:rsidP="00041848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60"/>
        <w:gridCol w:w="5807"/>
      </w:tblGrid>
      <w:tr w:rsidR="00561BB5" w:rsidRPr="00041848" w:rsidTr="00561BB5">
        <w:trPr>
          <w:trHeight w:val="452"/>
        </w:trPr>
        <w:tc>
          <w:tcPr>
            <w:tcW w:w="3260" w:type="dxa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41848">
              <w:rPr>
                <w:rFonts w:ascii="Times New Roman" w:hAnsi="Times New Roman" w:cs="Times New Roman"/>
                <w:bCs/>
                <w:color w:val="000000"/>
              </w:rPr>
              <w:t>Opis stavke</w:t>
            </w:r>
          </w:p>
          <w:p w:rsidR="00561BB5" w:rsidRPr="00041848" w:rsidRDefault="00561BB5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hideMark/>
          </w:tcPr>
          <w:p w:rsidR="00561BB5" w:rsidRPr="00041848" w:rsidRDefault="00561BB5" w:rsidP="004F24D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61BB5" w:rsidRPr="00041848" w:rsidRDefault="00561BB5" w:rsidP="004F24D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041848">
              <w:rPr>
                <w:rFonts w:ascii="Times New Roman" w:hAnsi="Times New Roman" w:cs="Times New Roman"/>
                <w:bCs/>
                <w:color w:val="000000"/>
              </w:rPr>
              <w:t>Iznos</w:t>
            </w:r>
          </w:p>
          <w:p w:rsidR="00561BB5" w:rsidRPr="00041848" w:rsidRDefault="00561BB5" w:rsidP="004F24D6">
            <w:pPr>
              <w:ind w:left="360"/>
              <w:jc w:val="right"/>
              <w:rPr>
                <w:rFonts w:ascii="Times New Roman" w:hAnsi="Times New Roman" w:cs="Times New Roman"/>
                <w:bCs/>
              </w:rPr>
            </w:pPr>
          </w:p>
        </w:tc>
        <w:bookmarkStart w:id="0" w:name="_GoBack"/>
        <w:bookmarkEnd w:id="0"/>
      </w:tr>
      <w:tr w:rsidR="00561BB5" w:rsidRPr="00041848" w:rsidTr="00561BB5">
        <w:trPr>
          <w:trHeight w:val="452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Stanje obveza 1. siječnja </w:t>
            </w:r>
          </w:p>
        </w:tc>
        <w:tc>
          <w:tcPr>
            <w:tcW w:w="5807" w:type="dxa"/>
            <w:noWrap/>
            <w:vAlign w:val="center"/>
            <w:hideMark/>
          </w:tcPr>
          <w:p w:rsidR="00561BB5" w:rsidRPr="00041848" w:rsidRDefault="00B2390F" w:rsidP="000418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1.644.243,97</w:t>
            </w: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Povećanje obveza u izvještajnom razdoblju</w:t>
            </w: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vAlign w:val="center"/>
            <w:hideMark/>
          </w:tcPr>
          <w:p w:rsidR="00561BB5" w:rsidRPr="00041848" w:rsidRDefault="00B2390F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7.842.824,17</w:t>
            </w: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Podmirene obveze u izvještajnom razdoblju </w:t>
            </w: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vAlign w:val="center"/>
          </w:tcPr>
          <w:p w:rsidR="00561BB5" w:rsidRPr="00041848" w:rsidRDefault="00B2390F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7.798.806,89</w:t>
            </w: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Stanje obveza na kraju izvještajnog razdoblja </w:t>
            </w:r>
          </w:p>
        </w:tc>
        <w:tc>
          <w:tcPr>
            <w:tcW w:w="5807" w:type="dxa"/>
            <w:noWrap/>
            <w:vAlign w:val="center"/>
          </w:tcPr>
          <w:p w:rsidR="00561BB5" w:rsidRPr="00041848" w:rsidRDefault="00B2390F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1.793.394,71</w:t>
            </w: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A921BC" w:rsidRPr="00041848" w:rsidRDefault="00A921BC" w:rsidP="00041848">
      <w:pPr>
        <w:jc w:val="both"/>
        <w:rPr>
          <w:rFonts w:ascii="Times New Roman" w:hAnsi="Times New Roman" w:cs="Times New Roman"/>
          <w:b/>
        </w:rPr>
      </w:pPr>
    </w:p>
    <w:p w:rsidR="001551A3" w:rsidRDefault="00902EFC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Iz gornje tablice je vidljivo povećanje obveze u odnosu na počeno stanje 1. siječnja 202</w:t>
      </w:r>
      <w:r w:rsidR="00B2390F">
        <w:rPr>
          <w:rFonts w:ascii="Times New Roman" w:hAnsi="Times New Roman" w:cs="Times New Roman"/>
        </w:rPr>
        <w:t>3</w:t>
      </w:r>
      <w:r w:rsidRPr="00041848">
        <w:rPr>
          <w:rFonts w:ascii="Times New Roman" w:hAnsi="Times New Roman" w:cs="Times New Roman"/>
        </w:rPr>
        <w:t xml:space="preserve">.godine. </w:t>
      </w:r>
      <w:r w:rsidR="00561BB5" w:rsidRPr="00041848">
        <w:rPr>
          <w:rFonts w:ascii="Times New Roman" w:hAnsi="Times New Roman" w:cs="Times New Roman"/>
        </w:rPr>
        <w:t xml:space="preserve">Od stavki koje su utjecale na povećanje obveza </w:t>
      </w:r>
      <w:r w:rsidR="001551A3">
        <w:rPr>
          <w:rFonts w:ascii="Times New Roman" w:hAnsi="Times New Roman" w:cs="Times New Roman"/>
        </w:rPr>
        <w:t>su sljedeće nedospjele obveze:</w:t>
      </w:r>
    </w:p>
    <w:p w:rsidR="001551A3" w:rsidRDefault="00B2390F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498.509,19 eura</w:t>
      </w:r>
      <w:r w:rsidR="00902EFC" w:rsidRPr="00041848">
        <w:rPr>
          <w:rFonts w:ascii="Times New Roman" w:hAnsi="Times New Roman" w:cs="Times New Roman"/>
        </w:rPr>
        <w:t xml:space="preserve">  </w:t>
      </w:r>
      <w:r w:rsidR="001551A3">
        <w:rPr>
          <w:rFonts w:ascii="Times New Roman" w:hAnsi="Times New Roman" w:cs="Times New Roman"/>
        </w:rPr>
        <w:t xml:space="preserve">iznosi </w:t>
      </w:r>
      <w:r w:rsidR="00041848" w:rsidRPr="00041848">
        <w:rPr>
          <w:rFonts w:ascii="Times New Roman" w:hAnsi="Times New Roman" w:cs="Times New Roman"/>
        </w:rPr>
        <w:t xml:space="preserve"> </w:t>
      </w:r>
      <w:r w:rsidR="00902EFC" w:rsidRPr="00041848">
        <w:rPr>
          <w:rFonts w:ascii="Times New Roman" w:hAnsi="Times New Roman" w:cs="Times New Roman"/>
        </w:rPr>
        <w:t>zaduženje plać</w:t>
      </w:r>
      <w:r w:rsidR="00041848" w:rsidRPr="00041848">
        <w:rPr>
          <w:rFonts w:ascii="Times New Roman" w:hAnsi="Times New Roman" w:cs="Times New Roman"/>
        </w:rPr>
        <w:t>e</w:t>
      </w:r>
      <w:r w:rsidR="00902EFC" w:rsidRPr="00041848">
        <w:rPr>
          <w:rFonts w:ascii="Times New Roman" w:hAnsi="Times New Roman" w:cs="Times New Roman"/>
        </w:rPr>
        <w:t xml:space="preserve"> iz prosinca 202</w:t>
      </w:r>
      <w:r>
        <w:rPr>
          <w:rFonts w:ascii="Times New Roman" w:hAnsi="Times New Roman" w:cs="Times New Roman"/>
        </w:rPr>
        <w:t>3</w:t>
      </w:r>
      <w:r w:rsidR="00041848" w:rsidRPr="00041848">
        <w:rPr>
          <w:rFonts w:ascii="Times New Roman" w:hAnsi="Times New Roman" w:cs="Times New Roman"/>
        </w:rPr>
        <w:t xml:space="preserve">.godine </w:t>
      </w:r>
      <w:r>
        <w:rPr>
          <w:rFonts w:ascii="Times New Roman" w:hAnsi="Times New Roman" w:cs="Times New Roman"/>
        </w:rPr>
        <w:t>a</w:t>
      </w:r>
      <w:r w:rsidR="00902EFC" w:rsidRPr="00041848">
        <w:rPr>
          <w:rFonts w:ascii="Times New Roman" w:hAnsi="Times New Roman" w:cs="Times New Roman"/>
        </w:rPr>
        <w:t xml:space="preserve"> koju ćemo na stavku troška prebaciti u siječnju 202</w:t>
      </w:r>
      <w:r>
        <w:rPr>
          <w:rFonts w:ascii="Times New Roman" w:hAnsi="Times New Roman" w:cs="Times New Roman"/>
        </w:rPr>
        <w:t>4</w:t>
      </w:r>
      <w:r w:rsidR="00902EFC" w:rsidRPr="00041848">
        <w:rPr>
          <w:rFonts w:ascii="Times New Roman" w:hAnsi="Times New Roman" w:cs="Times New Roman"/>
        </w:rPr>
        <w:t>. godine kad će biti isplaćena</w:t>
      </w:r>
      <w:r w:rsidR="001551A3">
        <w:rPr>
          <w:rFonts w:ascii="Times New Roman" w:hAnsi="Times New Roman" w:cs="Times New Roman"/>
        </w:rPr>
        <w:t xml:space="preserve">; </w:t>
      </w:r>
      <w:r w:rsidR="001551A3">
        <w:rPr>
          <w:rFonts w:ascii="Times New Roman" w:hAnsi="Times New Roman" w:cs="Times New Roman"/>
        </w:rPr>
        <w:t>246.979,00 eura</w:t>
      </w:r>
      <w:r w:rsidR="001551A3" w:rsidRPr="001551A3">
        <w:rPr>
          <w:rFonts w:ascii="Times New Roman" w:hAnsi="Times New Roman" w:cs="Times New Roman"/>
        </w:rPr>
        <w:t xml:space="preserve"> </w:t>
      </w:r>
      <w:r w:rsidR="001551A3">
        <w:rPr>
          <w:rFonts w:ascii="Times New Roman" w:hAnsi="Times New Roman" w:cs="Times New Roman"/>
        </w:rPr>
        <w:t>iznosi</w:t>
      </w:r>
      <w:r w:rsidR="001551A3">
        <w:rPr>
          <w:rFonts w:ascii="Times New Roman" w:hAnsi="Times New Roman" w:cs="Times New Roman"/>
        </w:rPr>
        <w:t xml:space="preserve"> ne</w:t>
      </w:r>
      <w:r w:rsidR="001551A3">
        <w:rPr>
          <w:rFonts w:ascii="Times New Roman" w:hAnsi="Times New Roman" w:cs="Times New Roman"/>
        </w:rPr>
        <w:t>dospjela obveza vanjske suradnje za tekući semestar</w:t>
      </w:r>
      <w:r w:rsidR="00FD75EB">
        <w:rPr>
          <w:rFonts w:ascii="Times New Roman" w:hAnsi="Times New Roman" w:cs="Times New Roman"/>
        </w:rPr>
        <w:t xml:space="preserve"> te </w:t>
      </w:r>
      <w:r w:rsidR="001551A3">
        <w:rPr>
          <w:rFonts w:ascii="Times New Roman" w:hAnsi="Times New Roman" w:cs="Times New Roman"/>
        </w:rPr>
        <w:t>203.367,03 eura iznose ostale nedospjele obveze za dobavljače, pdv i primljene predujmove.</w:t>
      </w:r>
    </w:p>
    <w:p w:rsidR="001551A3" w:rsidRDefault="000418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dan izvještaja 31.12.202</w:t>
      </w:r>
      <w:r w:rsidR="00B2390F">
        <w:rPr>
          <w:rFonts w:ascii="Times New Roman" w:hAnsi="Times New Roman" w:cs="Times New Roman"/>
        </w:rPr>
        <w:t>3</w:t>
      </w:r>
      <w:r w:rsidRPr="00041848">
        <w:rPr>
          <w:rFonts w:ascii="Times New Roman" w:hAnsi="Times New Roman" w:cs="Times New Roman"/>
        </w:rPr>
        <w:t>.godine dospjele a neizmirene obveze za vanjsku suradnju</w:t>
      </w:r>
      <w:r w:rsidR="001551A3">
        <w:rPr>
          <w:rFonts w:ascii="Times New Roman" w:hAnsi="Times New Roman" w:cs="Times New Roman"/>
        </w:rPr>
        <w:t xml:space="preserve"> i autorske honorare</w:t>
      </w:r>
      <w:r w:rsidRPr="00041848">
        <w:rPr>
          <w:rFonts w:ascii="Times New Roman" w:hAnsi="Times New Roman" w:cs="Times New Roman"/>
        </w:rPr>
        <w:t xml:space="preserve"> su iznosile</w:t>
      </w:r>
      <w:r w:rsidR="0088203A">
        <w:rPr>
          <w:rFonts w:ascii="Times New Roman" w:hAnsi="Times New Roman" w:cs="Times New Roman"/>
        </w:rPr>
        <w:t xml:space="preserve"> </w:t>
      </w:r>
      <w:r w:rsidR="00B2390F">
        <w:rPr>
          <w:rFonts w:ascii="Times New Roman" w:hAnsi="Times New Roman" w:cs="Times New Roman"/>
        </w:rPr>
        <w:t>297.177,45 eura, odnose se na ljetni semestra ak.god.202/23.</w:t>
      </w:r>
      <w:r w:rsidR="001551A3">
        <w:rPr>
          <w:rFonts w:ascii="Times New Roman" w:hAnsi="Times New Roman" w:cs="Times New Roman"/>
        </w:rPr>
        <w:t xml:space="preserve"> Dospjele a ne izmirene obveze za nefinacijsku imovinu iznose 547.362,04 eura i odnose se na trošak po sudskom sporu sa Nexe  gradnjom d.o.o.</w:t>
      </w: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4F24D6" w:rsidRDefault="004F24D6" w:rsidP="00041848">
      <w:pPr>
        <w:jc w:val="both"/>
        <w:rPr>
          <w:rFonts w:ascii="Times New Roman" w:hAnsi="Times New Roman" w:cs="Times New Roman"/>
        </w:rPr>
      </w:pPr>
    </w:p>
    <w:p w:rsidR="00557D6D" w:rsidRPr="00375805" w:rsidRDefault="00557D6D" w:rsidP="00557D6D">
      <w:pPr>
        <w:rPr>
          <w:sz w:val="24"/>
          <w:szCs w:val="24"/>
        </w:rPr>
      </w:pPr>
      <w:r w:rsidRPr="00375805">
        <w:rPr>
          <w:sz w:val="24"/>
          <w:szCs w:val="24"/>
        </w:rPr>
        <w:t xml:space="preserve">                                                                                                                     Dekan:</w:t>
      </w:r>
    </w:p>
    <w:p w:rsidR="00557D6D" w:rsidRPr="00375805" w:rsidRDefault="00557D6D" w:rsidP="00557D6D">
      <w:pPr>
        <w:rPr>
          <w:sz w:val="24"/>
          <w:szCs w:val="24"/>
        </w:rPr>
      </w:pPr>
    </w:p>
    <w:p w:rsidR="00557D6D" w:rsidRPr="00375805" w:rsidRDefault="00557D6D" w:rsidP="00557D6D">
      <w:pPr>
        <w:rPr>
          <w:sz w:val="24"/>
          <w:szCs w:val="24"/>
        </w:rPr>
      </w:pPr>
      <w:r w:rsidRPr="00375805">
        <w:rPr>
          <w:sz w:val="24"/>
          <w:szCs w:val="24"/>
        </w:rPr>
        <w:t xml:space="preserve">                                                                                                          Red prof art Igor Lešnik</w:t>
      </w:r>
    </w:p>
    <w:p w:rsidR="00557D6D" w:rsidRPr="00041848" w:rsidRDefault="00557D6D" w:rsidP="00041848">
      <w:pPr>
        <w:jc w:val="both"/>
        <w:rPr>
          <w:rFonts w:ascii="Times New Roman" w:hAnsi="Times New Roman" w:cs="Times New Roman"/>
        </w:rPr>
      </w:pPr>
    </w:p>
    <w:p w:rsidR="00A921BC" w:rsidRPr="00041848" w:rsidRDefault="00A921BC" w:rsidP="00041848">
      <w:pPr>
        <w:pStyle w:val="ListParagraph"/>
        <w:jc w:val="both"/>
        <w:rPr>
          <w:rFonts w:ascii="Times New Roman" w:hAnsi="Times New Roman" w:cs="Times New Roman"/>
        </w:rPr>
      </w:pPr>
    </w:p>
    <w:p w:rsidR="00915451" w:rsidRPr="00041848" w:rsidRDefault="00915451" w:rsidP="00041848">
      <w:pPr>
        <w:jc w:val="both"/>
        <w:rPr>
          <w:rFonts w:ascii="Times New Roman" w:hAnsi="Times New Roman" w:cs="Times New Roman"/>
        </w:rPr>
      </w:pPr>
    </w:p>
    <w:sectPr w:rsidR="00915451" w:rsidRPr="0004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12E3"/>
    <w:multiLevelType w:val="hybridMultilevel"/>
    <w:tmpl w:val="A5BCB4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845BA"/>
    <w:multiLevelType w:val="hybridMultilevel"/>
    <w:tmpl w:val="E2F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3D3"/>
    <w:multiLevelType w:val="hybridMultilevel"/>
    <w:tmpl w:val="E2F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0F"/>
    <w:rsid w:val="00025E2B"/>
    <w:rsid w:val="00041848"/>
    <w:rsid w:val="001014C9"/>
    <w:rsid w:val="001551A3"/>
    <w:rsid w:val="0016167A"/>
    <w:rsid w:val="0016740A"/>
    <w:rsid w:val="001863F1"/>
    <w:rsid w:val="001C14DD"/>
    <w:rsid w:val="0022038F"/>
    <w:rsid w:val="00265732"/>
    <w:rsid w:val="00293E02"/>
    <w:rsid w:val="002D7456"/>
    <w:rsid w:val="00321903"/>
    <w:rsid w:val="004F24D6"/>
    <w:rsid w:val="00515B8C"/>
    <w:rsid w:val="005262D0"/>
    <w:rsid w:val="00557D6D"/>
    <w:rsid w:val="00561BB5"/>
    <w:rsid w:val="00675888"/>
    <w:rsid w:val="006B6E48"/>
    <w:rsid w:val="007D3053"/>
    <w:rsid w:val="0088203A"/>
    <w:rsid w:val="00890D84"/>
    <w:rsid w:val="008B2434"/>
    <w:rsid w:val="008C3319"/>
    <w:rsid w:val="00902EFC"/>
    <w:rsid w:val="00915451"/>
    <w:rsid w:val="00A85EAA"/>
    <w:rsid w:val="00A921BC"/>
    <w:rsid w:val="00AA01A2"/>
    <w:rsid w:val="00B00A06"/>
    <w:rsid w:val="00B2390F"/>
    <w:rsid w:val="00B914C1"/>
    <w:rsid w:val="00BE029C"/>
    <w:rsid w:val="00C3351D"/>
    <w:rsid w:val="00C64ADA"/>
    <w:rsid w:val="00C81AAC"/>
    <w:rsid w:val="00D35D1A"/>
    <w:rsid w:val="00E0507F"/>
    <w:rsid w:val="00E65772"/>
    <w:rsid w:val="00EF080F"/>
    <w:rsid w:val="00FB1848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29A"/>
  <w15:chartTrackingRefBased/>
  <w15:docId w15:val="{B6BC3DA3-C53E-4E5E-B309-D9F50A69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0F"/>
    <w:pPr>
      <w:ind w:left="720"/>
      <w:contextualSpacing/>
    </w:pPr>
  </w:style>
  <w:style w:type="table" w:styleId="TableGrid">
    <w:name w:val="Table Grid"/>
    <w:basedOn w:val="TableNormal"/>
    <w:uiPriority w:val="39"/>
    <w:rsid w:val="00B9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Čečura</dc:creator>
  <cp:keywords/>
  <dc:description/>
  <cp:lastModifiedBy>Magdalena Čečura</cp:lastModifiedBy>
  <cp:revision>5</cp:revision>
  <cp:lastPrinted>2024-01-31T11:30:00Z</cp:lastPrinted>
  <dcterms:created xsi:type="dcterms:W3CDTF">2024-01-31T09:42:00Z</dcterms:created>
  <dcterms:modified xsi:type="dcterms:W3CDTF">2024-01-31T11:41:00Z</dcterms:modified>
</cp:coreProperties>
</file>