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03A" w:rsidRDefault="00FA0BBC" w:rsidP="00276B6A">
      <w:pPr>
        <w:spacing w:after="236" w:line="259" w:lineRule="auto"/>
        <w:ind w:left="0" w:firstLine="0"/>
        <w:jc w:val="left"/>
      </w:pPr>
      <w:r>
        <w:rPr>
          <w:sz w:val="20"/>
        </w:rPr>
        <w:t xml:space="preserve"> </w:t>
      </w:r>
      <w:r>
        <w:t xml:space="preserve">Podaci o podnositelju zahtjeva </w:t>
      </w:r>
    </w:p>
    <w:tbl>
      <w:tblPr>
        <w:tblStyle w:val="TableGrid"/>
        <w:tblW w:w="13315" w:type="dxa"/>
        <w:tblInd w:w="5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47"/>
        <w:gridCol w:w="3880"/>
        <w:gridCol w:w="2268"/>
        <w:gridCol w:w="4820"/>
      </w:tblGrid>
      <w:tr w:rsidR="0034603A" w:rsidTr="005541A8">
        <w:trPr>
          <w:trHeight w:val="554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3A" w:rsidRDefault="00FA0BBC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Ime i prezime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3A" w:rsidRDefault="00FA0BB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3A" w:rsidRDefault="00FA0BB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Adresa: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3A" w:rsidRDefault="00FA0BB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4603A" w:rsidTr="005541A8">
        <w:trPr>
          <w:trHeight w:val="475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3A" w:rsidRDefault="00FA0BBC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Broj mobilnog telefona: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3A" w:rsidRDefault="00FA0BB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3A" w:rsidRDefault="00FA0BB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Datum i mjesto rođenja: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3A" w:rsidRDefault="00FA0BB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4603A" w:rsidTr="005541A8">
        <w:trPr>
          <w:trHeight w:val="475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3A" w:rsidRDefault="00FA0BBC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E-mail adresa: 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3A" w:rsidRDefault="00FA0BB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3A" w:rsidRDefault="00FA0BB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OIB: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03A" w:rsidRDefault="00FA0BB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34603A" w:rsidRDefault="00FA0BBC">
      <w:pPr>
        <w:spacing w:after="21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4603A" w:rsidRPr="00686DE2" w:rsidRDefault="00FA0BBC">
      <w:pPr>
        <w:spacing w:after="215" w:line="259" w:lineRule="auto"/>
        <w:ind w:left="-5" w:hanging="10"/>
        <w:jc w:val="left"/>
        <w:rPr>
          <w:b/>
        </w:rPr>
      </w:pPr>
      <w:r w:rsidRPr="00686DE2">
        <w:rPr>
          <w:b/>
          <w:sz w:val="20"/>
        </w:rPr>
        <w:t xml:space="preserve">PRIZNAVANJE SE TRAŽI ZA: </w:t>
      </w:r>
    </w:p>
    <w:p w:rsidR="0034603A" w:rsidRDefault="00FA0BBC">
      <w:pPr>
        <w:spacing w:after="0" w:line="267" w:lineRule="auto"/>
        <w:ind w:left="-5" w:hanging="10"/>
        <w:jc w:val="left"/>
      </w:pPr>
      <w:r>
        <w:rPr>
          <w:sz w:val="20"/>
        </w:rPr>
        <w:t xml:space="preserve">Naziv ishoda učenja iz studijskog programa:  </w:t>
      </w: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CellMar>
          <w:top w:w="54" w:type="dxa"/>
          <w:left w:w="216" w:type="dxa"/>
          <w:right w:w="115" w:type="dxa"/>
        </w:tblCellMar>
        <w:tblLook w:val="04A0" w:firstRow="1" w:lastRow="0" w:firstColumn="1" w:lastColumn="0" w:noHBand="0" w:noVBand="1"/>
      </w:tblPr>
      <w:tblGrid>
        <w:gridCol w:w="631"/>
        <w:gridCol w:w="9340"/>
        <w:gridCol w:w="1813"/>
        <w:gridCol w:w="1698"/>
      </w:tblGrid>
      <w:tr w:rsidR="0034603A" w:rsidTr="00276B6A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FA0BBC" w:rsidP="00276B6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Rbr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41A8" w:rsidRPr="00E27740" w:rsidRDefault="00E27740" w:rsidP="00276B6A">
            <w:pPr>
              <w:spacing w:after="0" w:line="259" w:lineRule="auto"/>
              <w:ind w:left="0" w:firstLine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 xml:space="preserve">NAZIV KOLEGIJA I BROJ BODOVA PREMA ECTS-u </w:t>
            </w:r>
            <w:r w:rsidRPr="00E27740">
              <w:rPr>
                <w:sz w:val="20"/>
              </w:rPr>
              <w:t>(ako je primjenjivo)</w:t>
            </w:r>
          </w:p>
          <w:p w:rsidR="00E27740" w:rsidRDefault="00E27740" w:rsidP="00276B6A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34603A" w:rsidRDefault="00FA0BBC" w:rsidP="00276B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ISHOD UČENJA</w:t>
            </w:r>
            <w:r w:rsidR="005541A8">
              <w:rPr>
                <w:sz w:val="20"/>
              </w:rPr>
              <w:t xml:space="preserve"> ZA KOJI SE TRAŽI PRIZNAVANJE</w:t>
            </w:r>
            <w:r>
              <w:rPr>
                <w:sz w:val="20"/>
              </w:rPr>
              <w:t xml:space="preserve">*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FA0BBC" w:rsidP="00276B6A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Rezultat </w:t>
            </w:r>
            <w:proofErr w:type="spellStart"/>
            <w:r>
              <w:rPr>
                <w:sz w:val="20"/>
              </w:rPr>
              <w:t>samoprocjene</w:t>
            </w:r>
            <w:proofErr w:type="spellEnd"/>
            <w:r>
              <w:rPr>
                <w:sz w:val="20"/>
              </w:rPr>
              <w:t xml:space="preserve">** </w:t>
            </w:r>
          </w:p>
          <w:p w:rsidR="005541A8" w:rsidRDefault="005541A8" w:rsidP="00276B6A">
            <w:pPr>
              <w:spacing w:after="0" w:line="259" w:lineRule="auto"/>
              <w:ind w:left="0" w:firstLine="0"/>
              <w:jc w:val="left"/>
            </w:pPr>
            <w:r>
              <w:t>(</w:t>
            </w:r>
            <w:r>
              <w:rPr>
                <w:sz w:val="20"/>
              </w:rPr>
              <w:t>da / ne / nije sigurno)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FA0BBC" w:rsidP="00276B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Obrazloženje*** </w:t>
            </w:r>
          </w:p>
        </w:tc>
      </w:tr>
      <w:tr w:rsidR="0034603A" w:rsidTr="00276B6A">
        <w:trPr>
          <w:trHeight w:val="14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FA0BBC" w:rsidP="00276B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Pr="00276B6A" w:rsidRDefault="00686DE2" w:rsidP="00276B6A">
            <w:pPr>
              <w:shd w:val="clear" w:color="auto" w:fill="F2F2F2" w:themeFill="background1" w:themeFillShade="F2"/>
              <w:spacing w:after="120" w:line="240" w:lineRule="auto"/>
              <w:ind w:left="0" w:firstLine="0"/>
              <w:jc w:val="left"/>
              <w:rPr>
                <w:color w:val="FF0000"/>
                <w:sz w:val="20"/>
              </w:rPr>
            </w:pPr>
            <w:r w:rsidRPr="00686DE2">
              <w:rPr>
                <w:b/>
                <w:color w:val="FF0000"/>
                <w:sz w:val="20"/>
              </w:rPr>
              <w:t>PRIMJER:</w:t>
            </w:r>
            <w:r>
              <w:rPr>
                <w:color w:val="FF0000"/>
                <w:sz w:val="20"/>
              </w:rPr>
              <w:t xml:space="preserve"> </w:t>
            </w:r>
            <w:r w:rsidR="00E27740" w:rsidRPr="00276B6A">
              <w:rPr>
                <w:color w:val="FF0000"/>
                <w:sz w:val="20"/>
              </w:rPr>
              <w:t>OSNOVE GLAZBENE PEDAGOGIJE</w:t>
            </w:r>
            <w:r w:rsidR="00276B6A">
              <w:rPr>
                <w:color w:val="FF0000"/>
                <w:sz w:val="20"/>
              </w:rPr>
              <w:t xml:space="preserve"> –</w:t>
            </w:r>
            <w:r w:rsidR="00290920">
              <w:rPr>
                <w:color w:val="FF0000"/>
                <w:sz w:val="20"/>
              </w:rPr>
              <w:t xml:space="preserve"> 10 ECTS </w:t>
            </w:r>
            <w:r w:rsidR="00276B6A">
              <w:rPr>
                <w:color w:val="FF0000"/>
                <w:sz w:val="20"/>
              </w:rPr>
              <w:t>****</w:t>
            </w:r>
          </w:p>
          <w:p w:rsidR="00E27740" w:rsidRPr="00276B6A" w:rsidRDefault="00E27740" w:rsidP="00276B6A">
            <w:pPr>
              <w:shd w:val="clear" w:color="auto" w:fill="F2F2F2" w:themeFill="background1" w:themeFillShade="F2"/>
              <w:spacing w:after="120" w:line="240" w:lineRule="auto"/>
              <w:ind w:left="0" w:firstLine="0"/>
              <w:jc w:val="left"/>
              <w:rPr>
                <w:color w:val="FF0000"/>
                <w:sz w:val="20"/>
              </w:rPr>
            </w:pPr>
            <w:r w:rsidRPr="00276B6A">
              <w:rPr>
                <w:color w:val="FF0000"/>
                <w:sz w:val="20"/>
              </w:rPr>
              <w:t>Pristupnik će:</w:t>
            </w:r>
          </w:p>
          <w:p w:rsidR="00E27740" w:rsidRPr="00276B6A" w:rsidRDefault="00E27740" w:rsidP="00276B6A">
            <w:pPr>
              <w:pStyle w:val="NormalWeb"/>
              <w:shd w:val="clear" w:color="auto" w:fill="F2F2F2" w:themeFill="background1" w:themeFillShade="F2"/>
              <w:spacing w:before="0" w:beforeAutospacing="0" w:after="120" w:afterAutospacing="0"/>
              <w:rPr>
                <w:color w:val="FF0000"/>
                <w:sz w:val="20"/>
                <w:szCs w:val="22"/>
              </w:rPr>
            </w:pPr>
            <w:r w:rsidRPr="00276B6A">
              <w:rPr>
                <w:color w:val="FF0000"/>
                <w:sz w:val="20"/>
                <w:szCs w:val="22"/>
              </w:rPr>
              <w:t>1. poznavati sustave općeobrazovnog i glazbenog obrazovanja. Razumjet će njihovu strukturu na osnovi poznavanja njihova povijesnog razvoja te znati i razumjeti ciljeve i zadatke nastave glazbe</w:t>
            </w:r>
          </w:p>
          <w:p w:rsidR="00E27740" w:rsidRPr="00276B6A" w:rsidRDefault="00E27740" w:rsidP="00276B6A">
            <w:pPr>
              <w:pStyle w:val="NormalWeb"/>
              <w:shd w:val="clear" w:color="auto" w:fill="F2F2F2" w:themeFill="background1" w:themeFillShade="F2"/>
              <w:spacing w:before="0" w:beforeAutospacing="0" w:after="120" w:afterAutospacing="0"/>
              <w:rPr>
                <w:color w:val="FF0000"/>
                <w:sz w:val="20"/>
                <w:szCs w:val="22"/>
              </w:rPr>
            </w:pPr>
            <w:r w:rsidRPr="00276B6A">
              <w:rPr>
                <w:color w:val="FF0000"/>
                <w:sz w:val="20"/>
                <w:szCs w:val="22"/>
              </w:rPr>
              <w:t>2. upoznati i razumjeti zakonitosti i specifičnosti stjecanja glazbenih znanja i umijeća</w:t>
            </w:r>
          </w:p>
          <w:p w:rsidR="00E27740" w:rsidRPr="00276B6A" w:rsidRDefault="00E27740" w:rsidP="00276B6A">
            <w:pPr>
              <w:pStyle w:val="NormalWeb"/>
              <w:shd w:val="clear" w:color="auto" w:fill="F2F2F2" w:themeFill="background1" w:themeFillShade="F2"/>
              <w:spacing w:before="0" w:beforeAutospacing="0" w:after="120" w:afterAutospacing="0"/>
              <w:rPr>
                <w:color w:val="FF0000"/>
                <w:sz w:val="20"/>
                <w:szCs w:val="22"/>
              </w:rPr>
            </w:pPr>
            <w:r w:rsidRPr="00276B6A">
              <w:rPr>
                <w:color w:val="FF0000"/>
                <w:sz w:val="20"/>
                <w:szCs w:val="22"/>
              </w:rPr>
              <w:t>3. poznavati i kritički analizirati nastavni plan i program nastave glazbe u općem i glazbenom obrazovanju te teorijsku osnovu tih programa</w:t>
            </w:r>
          </w:p>
          <w:p w:rsidR="00E27740" w:rsidRPr="00276B6A" w:rsidRDefault="00E27740" w:rsidP="00276B6A">
            <w:pPr>
              <w:pStyle w:val="NormalWeb"/>
              <w:shd w:val="clear" w:color="auto" w:fill="F2F2F2" w:themeFill="background1" w:themeFillShade="F2"/>
              <w:spacing w:before="0" w:beforeAutospacing="0" w:after="120" w:afterAutospacing="0"/>
              <w:rPr>
                <w:color w:val="FF0000"/>
                <w:sz w:val="20"/>
                <w:szCs w:val="22"/>
              </w:rPr>
            </w:pPr>
            <w:r w:rsidRPr="00276B6A">
              <w:rPr>
                <w:color w:val="FF0000"/>
                <w:sz w:val="20"/>
                <w:szCs w:val="22"/>
              </w:rPr>
              <w:t>4. poznavati i drugačije moguće modele nastave u općeobrazovnoj i glazbenoj školi (komparacija s inozemnim sustavima obrazovanja, alternativni glazbeno-pedagoški pravci)</w:t>
            </w:r>
          </w:p>
          <w:p w:rsidR="00E27740" w:rsidRPr="00276B6A" w:rsidRDefault="00E27740" w:rsidP="00276B6A">
            <w:pPr>
              <w:pStyle w:val="NormalWeb"/>
              <w:shd w:val="clear" w:color="auto" w:fill="F2F2F2" w:themeFill="background1" w:themeFillShade="F2"/>
              <w:spacing w:before="0" w:beforeAutospacing="0" w:after="120" w:afterAutospacing="0"/>
              <w:rPr>
                <w:color w:val="FF0000"/>
                <w:sz w:val="20"/>
                <w:szCs w:val="22"/>
              </w:rPr>
            </w:pPr>
            <w:r w:rsidRPr="00276B6A">
              <w:rPr>
                <w:color w:val="FF0000"/>
                <w:sz w:val="20"/>
                <w:szCs w:val="22"/>
              </w:rPr>
              <w:t>5. upoznati psihološke i pedagoške osnove pojedinih nastavnih područja: pjevanja, sviranja, slušanja glazbe, stjecanja glazbene pismenosti, usvajanja muzikoloških sadržaja (teorijskih znanja) te glazbenoga stvaralaštva</w:t>
            </w:r>
          </w:p>
          <w:p w:rsidR="00E27740" w:rsidRPr="00276B6A" w:rsidRDefault="00E27740" w:rsidP="00276B6A">
            <w:pPr>
              <w:pStyle w:val="NormalWeb"/>
              <w:shd w:val="clear" w:color="auto" w:fill="F2F2F2" w:themeFill="background1" w:themeFillShade="F2"/>
              <w:spacing w:before="0" w:beforeAutospacing="0" w:after="120" w:afterAutospacing="0"/>
              <w:rPr>
                <w:color w:val="FF0000"/>
                <w:sz w:val="20"/>
                <w:szCs w:val="22"/>
              </w:rPr>
            </w:pPr>
            <w:r w:rsidRPr="00276B6A">
              <w:rPr>
                <w:color w:val="FF0000"/>
                <w:sz w:val="20"/>
                <w:szCs w:val="22"/>
              </w:rPr>
              <w:t>6. upoznati problematiku sastavljanja udžbenika za nastavu glazbe; upoznati osnove rada s učenicima s posebnim potrebama u kontekstu nastave glazbe; upoznati problematiku vrednovanja/ocjenjivanja u nastavi glazbe</w:t>
            </w:r>
          </w:p>
          <w:p w:rsidR="00E27740" w:rsidRPr="00276B6A" w:rsidRDefault="00E27740" w:rsidP="00276B6A">
            <w:pPr>
              <w:pStyle w:val="NormalWeb"/>
              <w:shd w:val="clear" w:color="auto" w:fill="F2F2F2" w:themeFill="background1" w:themeFillShade="F2"/>
              <w:spacing w:before="0" w:beforeAutospacing="0" w:after="120" w:afterAutospacing="0"/>
              <w:rPr>
                <w:color w:val="FF0000"/>
                <w:sz w:val="20"/>
                <w:szCs w:val="22"/>
              </w:rPr>
            </w:pPr>
            <w:r w:rsidRPr="00276B6A">
              <w:rPr>
                <w:color w:val="FF0000"/>
                <w:sz w:val="20"/>
                <w:szCs w:val="22"/>
              </w:rPr>
              <w:lastRenderedPageBreak/>
              <w:t xml:space="preserve">7. upoznati problematiku suradnje s roditeljima u glazbenim školama; upoznati osnove metodičkog rada s </w:t>
            </w:r>
            <w:proofErr w:type="spellStart"/>
            <w:r w:rsidRPr="00276B6A">
              <w:rPr>
                <w:color w:val="FF0000"/>
                <w:sz w:val="20"/>
                <w:szCs w:val="22"/>
              </w:rPr>
              <w:t>predškolcima</w:t>
            </w:r>
            <w:proofErr w:type="spellEnd"/>
            <w:r w:rsidRPr="00276B6A">
              <w:rPr>
                <w:color w:val="FF0000"/>
                <w:sz w:val="20"/>
                <w:szCs w:val="22"/>
              </w:rPr>
              <w:t xml:space="preserve"> (glazbeni vrtić, tečajevi, igraonice); upoznati mogućnosti i izazove organizacije i provedbe izvannastavnih glazbenih aktivnosti; kritički promišljati postojeće stanje u nastavi glazbe i nalaziti nova rješenja u nastavi; savladati pisanje glazbeno-pedagoškog eseja; kritički promišljati postojeće stanje u nastavi glazbe i nalaziti nova rješenja u nastavi</w:t>
            </w:r>
          </w:p>
          <w:p w:rsidR="00E27740" w:rsidRPr="00276B6A" w:rsidRDefault="00E27740" w:rsidP="00276B6A">
            <w:pPr>
              <w:pStyle w:val="NormalWeb"/>
              <w:shd w:val="clear" w:color="auto" w:fill="F2F2F2" w:themeFill="background1" w:themeFillShade="F2"/>
              <w:spacing w:before="0" w:beforeAutospacing="0" w:after="120" w:afterAutospacing="0"/>
              <w:rPr>
                <w:color w:val="000000"/>
                <w:sz w:val="20"/>
                <w:szCs w:val="22"/>
              </w:rPr>
            </w:pPr>
            <w:r w:rsidRPr="00276B6A">
              <w:rPr>
                <w:color w:val="FF0000"/>
                <w:sz w:val="20"/>
                <w:szCs w:val="22"/>
              </w:rPr>
              <w:t>8. znati se služiti glazbeno-pedagoškom literaturom te savladati osnove prezentacijskih vještina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34603A" w:rsidP="00276B6A">
            <w:pPr>
              <w:spacing w:after="0" w:line="259" w:lineRule="auto"/>
              <w:ind w:left="0" w:right="102" w:firstLine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FA0BBC" w:rsidP="00276B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4603A" w:rsidTr="00276B6A">
        <w:trPr>
          <w:trHeight w:val="4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FA0BBC" w:rsidP="00276B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FA0BBC" w:rsidP="00276B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FA0BBC" w:rsidP="00276B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FA0BBC" w:rsidP="00276B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4603A" w:rsidTr="00276B6A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FA0BBC" w:rsidP="00276B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FA0BBC" w:rsidP="00276B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FA0BBC" w:rsidP="00276B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FA0BBC" w:rsidP="00276B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4603A" w:rsidTr="00276B6A">
        <w:trPr>
          <w:trHeight w:val="4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FA0BBC" w:rsidP="00276B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FA0BBC" w:rsidP="00276B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FA0BBC" w:rsidP="00276B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FA0BBC" w:rsidP="00276B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4603A" w:rsidTr="00276B6A">
        <w:trPr>
          <w:trHeight w:val="4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FA0BBC" w:rsidP="00276B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FA0BBC" w:rsidP="00276B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FA0BBC" w:rsidP="00276B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FA0BBC" w:rsidP="00276B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4603A" w:rsidTr="00276B6A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FA0BBC" w:rsidP="00276B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6.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FA0BBC" w:rsidP="00276B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FA0BBC" w:rsidP="00276B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4603A" w:rsidRDefault="00FA0BBC" w:rsidP="00276B6A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34603A" w:rsidRDefault="005541A8">
      <w:pPr>
        <w:spacing w:after="202" w:line="275" w:lineRule="auto"/>
        <w:ind w:left="-5" w:right="-14" w:hanging="10"/>
      </w:pPr>
      <w:r>
        <w:rPr>
          <w:sz w:val="20"/>
        </w:rPr>
        <w:br w:type="textWrapping" w:clear="all"/>
      </w:r>
      <w:r w:rsidR="00FA0BBC">
        <w:rPr>
          <w:sz w:val="20"/>
        </w:rPr>
        <w:t>* Ishod učenja odnosi se na ishod učenja kolegija, modula, odnosno studija kako je utvrđen studijskim programom. Ako se traži priznavanje ishoda učenja koji se ostvaruju un</w:t>
      </w:r>
      <w:r w:rsidR="00AC0B6D">
        <w:rPr>
          <w:sz w:val="20"/>
        </w:rPr>
        <w:t>ut</w:t>
      </w:r>
      <w:r w:rsidR="00FA0BBC">
        <w:rPr>
          <w:sz w:val="20"/>
        </w:rPr>
        <w:t xml:space="preserve">ar jednog kolegija, potrebno je navesti sve ishode učenja tog kolegija (kolona II.) i provesti </w:t>
      </w:r>
      <w:proofErr w:type="spellStart"/>
      <w:r w:rsidR="00FA0BBC">
        <w:rPr>
          <w:sz w:val="20"/>
        </w:rPr>
        <w:t>samoprocjenu</w:t>
      </w:r>
      <w:proofErr w:type="spellEnd"/>
      <w:r w:rsidR="00FA0BBC">
        <w:rPr>
          <w:sz w:val="20"/>
        </w:rPr>
        <w:t xml:space="preserve"> (kolona III.) te obrazložiti u koloni IV. sadržaj i način ostvarivanja za one ishode učenja koji su prema </w:t>
      </w:r>
      <w:proofErr w:type="spellStart"/>
      <w:r w:rsidR="00FA0BBC">
        <w:rPr>
          <w:sz w:val="20"/>
        </w:rPr>
        <w:t>samoprocjeni</w:t>
      </w:r>
      <w:proofErr w:type="spellEnd"/>
      <w:r w:rsidR="00FA0BBC">
        <w:rPr>
          <w:sz w:val="20"/>
        </w:rPr>
        <w:t xml:space="preserve"> ostvareni djelomično ili u cijelosti.  </w:t>
      </w:r>
    </w:p>
    <w:p w:rsidR="00E27740" w:rsidRDefault="00FA0BBC">
      <w:pPr>
        <w:spacing w:after="2" w:line="482" w:lineRule="auto"/>
        <w:ind w:left="-5" w:right="1263" w:hanging="10"/>
        <w:rPr>
          <w:sz w:val="20"/>
        </w:rPr>
      </w:pPr>
      <w:r>
        <w:rPr>
          <w:sz w:val="20"/>
        </w:rPr>
        <w:t xml:space="preserve">** Podnositelj procjenjuje razinu ostvarenosti pojedinog ishoda učenja (da, ne, nije sigurno) </w:t>
      </w:r>
    </w:p>
    <w:p w:rsidR="0034603A" w:rsidRDefault="00FA0BBC">
      <w:pPr>
        <w:spacing w:after="2" w:line="482" w:lineRule="auto"/>
        <w:ind w:left="-5" w:right="1263" w:hanging="10"/>
      </w:pPr>
      <w:r>
        <w:rPr>
          <w:sz w:val="20"/>
        </w:rPr>
        <w:t>*** Osvrt podnositelja na sadržaj i način ostvarivanja ishoda</w:t>
      </w:r>
      <w:r w:rsidR="005541A8">
        <w:rPr>
          <w:sz w:val="20"/>
        </w:rPr>
        <w:t xml:space="preserve"> </w:t>
      </w:r>
      <w:r>
        <w:rPr>
          <w:sz w:val="20"/>
        </w:rPr>
        <w:t xml:space="preserve">učenja.  </w:t>
      </w:r>
    </w:p>
    <w:p w:rsidR="0034603A" w:rsidRDefault="00276B6A">
      <w:pPr>
        <w:spacing w:after="214" w:line="259" w:lineRule="auto"/>
        <w:ind w:left="0" w:firstLine="0"/>
        <w:jc w:val="left"/>
      </w:pPr>
      <w:r>
        <w:rPr>
          <w:sz w:val="20"/>
        </w:rPr>
        <w:t xml:space="preserve">**** Ishodi učenja na razini kolegija, modula ili studija mogu se naći na mrežnim stranicama ISVU-a: </w:t>
      </w:r>
      <w:hyperlink r:id="rId7" w:history="1">
        <w:r w:rsidRPr="00CD3440">
          <w:rPr>
            <w:rStyle w:val="Hyperlink"/>
            <w:sz w:val="20"/>
          </w:rPr>
          <w:t>https://www.isvu.hr/visokaucilista/hr/podaci/1349/nastavniprogram</w:t>
        </w:r>
      </w:hyperlink>
      <w:r>
        <w:rPr>
          <w:sz w:val="20"/>
        </w:rPr>
        <w:t xml:space="preserve"> </w:t>
      </w:r>
    </w:p>
    <w:p w:rsidR="0034603A" w:rsidRDefault="00FA0BBC">
      <w:pPr>
        <w:spacing w:after="208" w:line="267" w:lineRule="auto"/>
        <w:ind w:left="-5" w:hanging="10"/>
        <w:jc w:val="left"/>
      </w:pPr>
      <w:r>
        <w:rPr>
          <w:sz w:val="20"/>
        </w:rPr>
        <w:t xml:space="preserve">Uz zahtjev podnositelj dostavlja dokumentaciju propisanu člankom 4. </w:t>
      </w:r>
      <w:hyperlink r:id="rId8" w:history="1">
        <w:r w:rsidRPr="006A4B2D">
          <w:rPr>
            <w:rStyle w:val="Hyperlink"/>
            <w:sz w:val="20"/>
          </w:rPr>
          <w:t xml:space="preserve">Pravilnika o priznavanju prethodnog neformalnog i </w:t>
        </w:r>
        <w:proofErr w:type="spellStart"/>
        <w:r w:rsidRPr="006A4B2D">
          <w:rPr>
            <w:rStyle w:val="Hyperlink"/>
            <w:sz w:val="20"/>
          </w:rPr>
          <w:t>informalnog</w:t>
        </w:r>
        <w:proofErr w:type="spellEnd"/>
        <w:r w:rsidRPr="006A4B2D">
          <w:rPr>
            <w:rStyle w:val="Hyperlink"/>
            <w:sz w:val="20"/>
          </w:rPr>
          <w:t xml:space="preserve"> učenja na Sveučilištu u Zagre</w:t>
        </w:r>
        <w:r w:rsidR="006A4B2D">
          <w:rPr>
            <w:rStyle w:val="Hyperlink"/>
            <w:sz w:val="20"/>
          </w:rPr>
          <w:t>bu</w:t>
        </w:r>
      </w:hyperlink>
      <w:r>
        <w:rPr>
          <w:sz w:val="20"/>
        </w:rPr>
        <w:t xml:space="preserve"> </w:t>
      </w:r>
    </w:p>
    <w:p w:rsidR="0034603A" w:rsidRDefault="00FA0BBC">
      <w:pPr>
        <w:spacing w:after="21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4603A" w:rsidRDefault="00FA0BBC">
      <w:pPr>
        <w:spacing w:after="215" w:line="259" w:lineRule="auto"/>
        <w:ind w:left="-5" w:hanging="10"/>
        <w:jc w:val="left"/>
      </w:pPr>
      <w:r>
        <w:rPr>
          <w:sz w:val="20"/>
        </w:rPr>
        <w:t xml:space="preserve">Potpis podnositelja zahtjeva: </w:t>
      </w:r>
    </w:p>
    <w:p w:rsidR="0034603A" w:rsidRDefault="00FA0BBC">
      <w:pPr>
        <w:spacing w:after="215" w:line="259" w:lineRule="auto"/>
        <w:ind w:left="-5" w:hanging="10"/>
        <w:jc w:val="left"/>
      </w:pPr>
      <w:r>
        <w:rPr>
          <w:sz w:val="20"/>
        </w:rPr>
        <w:t xml:space="preserve">Mjesto i datum: </w:t>
      </w:r>
    </w:p>
    <w:sectPr w:rsidR="0034603A" w:rsidSect="00276B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43" w:right="1512" w:bottom="993" w:left="1834" w:header="93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5B7" w:rsidRDefault="00C445B7">
      <w:pPr>
        <w:spacing w:after="0" w:line="240" w:lineRule="auto"/>
      </w:pPr>
      <w:r>
        <w:separator/>
      </w:r>
    </w:p>
  </w:endnote>
  <w:endnote w:type="continuationSeparator" w:id="0">
    <w:p w:rsidR="00C445B7" w:rsidRDefault="00C44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03A" w:rsidRDefault="00FA0BBC">
    <w:pPr>
      <w:spacing w:after="216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4603A" w:rsidRDefault="00FA0BBC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03A" w:rsidRDefault="00FA0BBC">
    <w:pPr>
      <w:spacing w:after="216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4603A" w:rsidRDefault="00FA0BBC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03A" w:rsidRDefault="00FA0BBC">
    <w:pPr>
      <w:spacing w:after="216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4603A" w:rsidRDefault="00FA0BBC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5B7" w:rsidRDefault="00C445B7">
      <w:pPr>
        <w:spacing w:after="0" w:line="240" w:lineRule="auto"/>
      </w:pPr>
      <w:r>
        <w:separator/>
      </w:r>
    </w:p>
  </w:footnote>
  <w:footnote w:type="continuationSeparator" w:id="0">
    <w:p w:rsidR="00C445B7" w:rsidRDefault="00C44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03A" w:rsidRDefault="00FA0BBC">
    <w:pPr>
      <w:spacing w:after="0" w:line="259" w:lineRule="auto"/>
      <w:ind w:left="0" w:firstLine="0"/>
      <w:jc w:val="left"/>
    </w:pPr>
    <w:r>
      <w:rPr>
        <w:sz w:val="28"/>
      </w:rPr>
      <w:t xml:space="preserve">Nelektorirana verzija </w:t>
    </w:r>
  </w:p>
  <w:p w:rsidR="0034603A" w:rsidRDefault="00FA0BBC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1A8" w:rsidRDefault="00345633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6417310</wp:posOffset>
          </wp:positionH>
          <wp:positionV relativeFrom="paragraph">
            <wp:posOffset>-241300</wp:posOffset>
          </wp:positionV>
          <wp:extent cx="895350" cy="8953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41A8">
      <w:rPr>
        <w:noProof/>
      </w:rPr>
      <w:drawing>
        <wp:anchor distT="0" distB="0" distL="114300" distR="114300" simplePos="0" relativeHeight="251658240" behindDoc="0" locked="0" layoutInCell="1" allowOverlap="1" wp14:anchorId="0A1CEAA5">
          <wp:simplePos x="0" y="0"/>
          <wp:positionH relativeFrom="margin">
            <wp:align>right</wp:align>
          </wp:positionH>
          <wp:positionV relativeFrom="paragraph">
            <wp:posOffset>-31750</wp:posOffset>
          </wp:positionV>
          <wp:extent cx="1224915" cy="414020"/>
          <wp:effectExtent l="0" t="0" r="0" b="5080"/>
          <wp:wrapNone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" name="Picture 6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41A8" w:rsidRPr="005541A8">
      <w:rPr>
        <w:b/>
        <w:sz w:val="32"/>
      </w:rPr>
      <w:t>Zahtjev za priznavanjem prethodnog</w:t>
    </w:r>
    <w:r w:rsidR="005541A8">
      <w:rPr>
        <w:b/>
        <w:sz w:val="32"/>
      </w:rPr>
      <w:t>a</w:t>
    </w:r>
    <w:r w:rsidR="005541A8" w:rsidRPr="005541A8">
      <w:rPr>
        <w:b/>
        <w:sz w:val="32"/>
      </w:rPr>
      <w:t xml:space="preserve"> neformalnog i </w:t>
    </w:r>
    <w:proofErr w:type="spellStart"/>
    <w:r w:rsidR="005541A8" w:rsidRPr="005541A8">
      <w:rPr>
        <w:b/>
        <w:sz w:val="32"/>
      </w:rPr>
      <w:t>informalnog</w:t>
    </w:r>
    <w:proofErr w:type="spellEnd"/>
    <w:r w:rsidR="005541A8" w:rsidRPr="005541A8">
      <w:rPr>
        <w:b/>
        <w:sz w:val="32"/>
      </w:rPr>
      <w:t xml:space="preserve"> učenja</w:t>
    </w:r>
    <w:r w:rsidR="005541A8" w:rsidRPr="005541A8">
      <w:rPr>
        <w:noProof/>
      </w:rPr>
      <w:t xml:space="preserve"> </w:t>
    </w:r>
  </w:p>
  <w:p w:rsidR="00FE32D0" w:rsidRPr="005541A8" w:rsidRDefault="00FE32D0">
    <w:pPr>
      <w:pStyle w:val="Header"/>
      <w:rPr>
        <w:b/>
        <w:sz w:val="28"/>
      </w:rPr>
    </w:pPr>
    <w:r>
      <w:rPr>
        <w:b/>
        <w:sz w:val="28"/>
      </w:rPr>
      <w:t>Muzička akademija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03A" w:rsidRDefault="00FA0BBC">
    <w:pPr>
      <w:spacing w:after="0" w:line="259" w:lineRule="auto"/>
      <w:ind w:left="0" w:firstLine="0"/>
      <w:jc w:val="left"/>
    </w:pPr>
    <w:r>
      <w:rPr>
        <w:sz w:val="28"/>
      </w:rPr>
      <w:t xml:space="preserve">Nelektorirana verzija </w:t>
    </w:r>
  </w:p>
  <w:p w:rsidR="0034603A" w:rsidRDefault="00FA0BBC">
    <w:pPr>
      <w:spacing w:after="0" w:line="259" w:lineRule="auto"/>
      <w:ind w:left="0" w:firstLine="0"/>
      <w:jc w:val="left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33713"/>
    <w:multiLevelType w:val="hybridMultilevel"/>
    <w:tmpl w:val="2E969F16"/>
    <w:lvl w:ilvl="0" w:tplc="8752FA30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270C2">
      <w:start w:val="1"/>
      <w:numFmt w:val="bullet"/>
      <w:lvlText w:val="-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E7C00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8E9EE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EA0B2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2F7E0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01DF8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2DF64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6F47E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2E40B0"/>
    <w:multiLevelType w:val="hybridMultilevel"/>
    <w:tmpl w:val="E9040250"/>
    <w:lvl w:ilvl="0" w:tplc="0B4E155E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B670B4">
      <w:start w:val="1"/>
      <w:numFmt w:val="lowerLetter"/>
      <w:lvlText w:val="%2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08C854">
      <w:start w:val="1"/>
      <w:numFmt w:val="lowerRoman"/>
      <w:lvlText w:val="%3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90BE1A">
      <w:start w:val="1"/>
      <w:numFmt w:val="decimal"/>
      <w:lvlText w:val="%4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084772">
      <w:start w:val="1"/>
      <w:numFmt w:val="lowerLetter"/>
      <w:lvlText w:val="%5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528C62">
      <w:start w:val="1"/>
      <w:numFmt w:val="lowerRoman"/>
      <w:lvlText w:val="%6"/>
      <w:lvlJc w:val="left"/>
      <w:pPr>
        <w:ind w:left="6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8A4D92">
      <w:start w:val="1"/>
      <w:numFmt w:val="decimal"/>
      <w:lvlText w:val="%7"/>
      <w:lvlJc w:val="left"/>
      <w:pPr>
        <w:ind w:left="7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74C756">
      <w:start w:val="1"/>
      <w:numFmt w:val="lowerLetter"/>
      <w:lvlText w:val="%8"/>
      <w:lvlJc w:val="left"/>
      <w:pPr>
        <w:ind w:left="8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F26BAC">
      <w:start w:val="1"/>
      <w:numFmt w:val="lowerRoman"/>
      <w:lvlText w:val="%9"/>
      <w:lvlJc w:val="left"/>
      <w:pPr>
        <w:ind w:left="9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952E7"/>
    <w:multiLevelType w:val="hybridMultilevel"/>
    <w:tmpl w:val="44D4FA04"/>
    <w:lvl w:ilvl="0" w:tplc="3482E704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EA47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CE7F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07B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2C61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50A0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6C90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4D0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A5E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FA02FE"/>
    <w:multiLevelType w:val="hybridMultilevel"/>
    <w:tmpl w:val="ECD43F46"/>
    <w:lvl w:ilvl="0" w:tplc="B8B230BC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B0C68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28B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663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2F3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D0F9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0C4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876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CA9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D84BBD"/>
    <w:multiLevelType w:val="hybridMultilevel"/>
    <w:tmpl w:val="916C3F96"/>
    <w:lvl w:ilvl="0" w:tplc="EC9CDA96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CC47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864A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70ADE0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069F5E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2094A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C8008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A859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C22ED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1E01C0"/>
    <w:multiLevelType w:val="hybridMultilevel"/>
    <w:tmpl w:val="98903222"/>
    <w:lvl w:ilvl="0" w:tplc="B3E27076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04F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A8B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A1D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BE7E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D244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88F5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E4E4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742F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FC6FE1"/>
    <w:multiLevelType w:val="hybridMultilevel"/>
    <w:tmpl w:val="D28CFF06"/>
    <w:lvl w:ilvl="0" w:tplc="1374B85A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A0E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B8C6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619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0C2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5C37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CC1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CA9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271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005536"/>
    <w:multiLevelType w:val="hybridMultilevel"/>
    <w:tmpl w:val="7AB4E43C"/>
    <w:lvl w:ilvl="0" w:tplc="61B25862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702B3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66A3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CBF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2A0D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C031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8ABC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BE81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296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C03349"/>
    <w:multiLevelType w:val="hybridMultilevel"/>
    <w:tmpl w:val="68ECA36C"/>
    <w:lvl w:ilvl="0" w:tplc="EA5C497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ACF49C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A2D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D86C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6DF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3617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389C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6E6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AD0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D5219C"/>
    <w:multiLevelType w:val="hybridMultilevel"/>
    <w:tmpl w:val="1F349236"/>
    <w:lvl w:ilvl="0" w:tplc="AA1471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EA02C">
      <w:start w:val="1"/>
      <w:numFmt w:val="lowerLetter"/>
      <w:lvlRestart w:val="0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669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D48C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A8E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9001A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E83E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433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69D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3944AE"/>
    <w:multiLevelType w:val="hybridMultilevel"/>
    <w:tmpl w:val="359E5CFA"/>
    <w:lvl w:ilvl="0" w:tplc="3C26CEC6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E79AC">
      <w:start w:val="1"/>
      <w:numFmt w:val="bullet"/>
      <w:lvlText w:val="-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8830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0B6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2BA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CEFF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2A3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3AA4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F43C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3A"/>
    <w:rsid w:val="00276B6A"/>
    <w:rsid w:val="00290920"/>
    <w:rsid w:val="00345633"/>
    <w:rsid w:val="0034603A"/>
    <w:rsid w:val="005541A8"/>
    <w:rsid w:val="00686DE2"/>
    <w:rsid w:val="006A4B2D"/>
    <w:rsid w:val="00AC0B6D"/>
    <w:rsid w:val="00C445B7"/>
    <w:rsid w:val="00E27740"/>
    <w:rsid w:val="00FA0BBC"/>
    <w:rsid w:val="00FE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1B84DC"/>
  <w15:docId w15:val="{3A8B41A8-9FF9-4B76-94A9-5369EF71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4" w:line="248" w:lineRule="auto"/>
      <w:ind w:left="365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1"/>
      </w:numPr>
      <w:spacing w:after="234"/>
      <w:ind w:left="10" w:right="5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1A8"/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E2774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276B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g.hr/fileadmin/rektorat/O_Sveucilistu/Dokumenti_javnost/Propisi/Pravilnici/novo_i_lektorirano_Pravilnik_o_priznavanju_prethodnoga_neformalnog_i_informalnog_ucenja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svu.hr/visokaucilista/hr/podaci/1349/nastavniprogra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400</Words>
  <Characters>2619</Characters>
  <Application>Microsoft Office Word</Application>
  <DocSecurity>0</DocSecurity>
  <Lines>80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Pravilnik -NIF - za Senat</vt:lpstr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Pravilnik -NIF - za Senat</dc:title>
  <dc:subject/>
  <dc:creator>Jelena uran</dc:creator>
  <cp:keywords/>
  <cp:lastModifiedBy>Sanja Kiš Žuvela</cp:lastModifiedBy>
  <cp:revision>12</cp:revision>
  <dcterms:created xsi:type="dcterms:W3CDTF">2024-09-04T17:09:00Z</dcterms:created>
  <dcterms:modified xsi:type="dcterms:W3CDTF">2024-09-12T07:35:00Z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5be5d99a43448af08621288e2e209195130dfdcd3a99c7e9f1b5ed0ad7947b65</vt:lpwstr>
  </property>
</Properties>
</file>